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 ?>
<Relationships xmlns="http://schemas.openxmlformats.org/package/2006/relationships">
  <Relationship Id="rId1" Target="word/document.xml" Type="http://schemas.openxmlformats.org/officeDocument/2006/relationships/officeDocument"/>
  <Relationship Id="rId2" Target="docProps/app.xml" Type="http://schemas.openxmlformats.org/officeDocument/2006/relationships/extended-properties"/>
  <Relationship Id="rId3" Target="docProps/core.xml" Type="http://schemas.openxmlformats.org/package/2006/relationships/metadata/core-properties"/>
</Relationships>

</file>

<file path=word/document.xml><?xml version="1.0" encoding="utf-8"?>
<w:document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body>
    <w:p w14:paraId="01000000">
      <w:pPr>
        <w:spacing w:after="232" w:before="232"/>
        <w:ind w:firstLine="0" w:left="0" w:right="0"/>
        <w:rPr>
          <w:b w:val="1"/>
          <w:sz w:val="28"/>
        </w:rPr>
      </w:pPr>
      <w:r>
        <w:rPr>
          <w:b w:val="1"/>
          <w:sz w:val="28"/>
        </w:rPr>
        <w:t>System Profiles (Model Cards)</w:t>
      </w:r>
    </w:p>
    <w:p w14:paraId="02000000">
      <w:pPr>
        <w:spacing w:after="269" w:before="269"/>
        <w:ind w:firstLine="0" w:left="0" w:right="0"/>
      </w:pPr>
      <w:r>
        <w:t>This section provides short, neutral “model cards” for selected AI systems associated with the Russian ecosystem. The focus is on modalities, typical tasks, and ecosystem roles, without technical benchmarking or endorsement.</w:t>
      </w:r>
    </w:p>
    <w:p w14:paraId="03000000">
      <w:pPr>
        <w:spacing w:after="269" w:before="269"/>
        <w:ind w:firstLine="0" w:left="0" w:right="0"/>
        <w:rPr>
          <w:b w:val="1"/>
        </w:rPr>
      </w:pPr>
      <w:r>
        <w:rPr>
          <w:b w:val="1"/>
        </w:rPr>
        <w:t>3.1 YandexGPT / YaLM Family</w:t>
      </w:r>
    </w:p>
    <w:p w14:paraId="04000000">
      <w:pPr>
        <w:spacing w:after="269" w:before="269"/>
        <w:ind w:firstLine="0" w:left="0" w:right="0"/>
      </w:pPr>
      <w:r>
        <w:rPr>
          <w:b w:val="1"/>
        </w:rPr>
        <w:t>Modality:</w:t>
      </w:r>
      <w:r>
        <w:t xml:space="preserve"> text, code.</w:t>
      </w:r>
      <w:r>
        <w:br/>
      </w:r>
      <w:r>
        <w:rPr>
          <w:b w:val="1"/>
        </w:rPr>
        <w:t>Primary tasks:</w:t>
      </w:r>
      <w:r>
        <w:t xml:space="preserve"> assistant-style interaction, question answering, drafting, and basic coding support.</w:t>
      </w:r>
      <w:r>
        <w:br/>
      </w:r>
      <w:r>
        <w:rPr>
          <w:b w:val="1"/>
        </w:rPr>
        <w:t>Ecosystem role:</w:t>
      </w:r>
      <w:r>
        <w:t xml:space="preserve"> integrated into productivity, search, and communication workflows, where language models assist users in everyday and work-related tasks.</w:t>
      </w:r>
      <w:r>
        <w:br/>
      </w:r>
      <w:r>
        <w:rPr>
          <w:b w:val="1"/>
        </w:rPr>
        <w:t>Typical usage:</w:t>
      </w:r>
      <w:r>
        <w:t xml:space="preserve"> natural-language dialogs, content generation, summarization, simple code suggestions, and structured querying over documents or services.</w:t>
      </w:r>
      <w:r>
        <w:br/>
      </w:r>
      <w:r>
        <w:rPr>
          <w:b w:val="1"/>
        </w:rPr>
        <w:t>Safety and limitations:</w:t>
      </w:r>
      <w:r>
        <w:t xml:space="preserve"> behavior and quality depend on the specific version, deployment settings, and applied content policies. Independent evaluation is required before use in safety-critical or high-stakes domains.</w:t>
      </w:r>
    </w:p>
    <w:p w14:paraId="05000000">
      <w:pPr>
        <w:spacing w:after="269" w:before="269"/>
        <w:ind w:firstLine="0" w:left="0" w:right="0"/>
        <w:rPr>
          <w:b w:val="1"/>
        </w:rPr>
      </w:pPr>
      <w:r>
        <w:rPr>
          <w:b w:val="1"/>
        </w:rPr>
        <w:t>3.2 GigaChat (Sber)</w:t>
      </w:r>
    </w:p>
    <w:p w14:paraId="06000000">
      <w:pPr>
        <w:spacing w:after="269" w:before="269"/>
        <w:ind w:firstLine="0" w:left="0" w:right="0"/>
      </w:pPr>
      <w:r>
        <w:rPr>
          <w:b w:val="1"/>
        </w:rPr>
        <w:t>Modality:</w:t>
      </w:r>
      <w:r>
        <w:t xml:space="preserve"> text, code, chat-like interaction.</w:t>
      </w:r>
      <w:r>
        <w:br/>
      </w:r>
      <w:r>
        <w:rPr>
          <w:b w:val="1"/>
        </w:rPr>
        <w:t>Primary tasks:</w:t>
      </w:r>
      <w:r>
        <w:t xml:space="preserve"> assistant-style communication, enterprise support, code assistance, and knowledge querying.</w:t>
      </w:r>
      <w:r>
        <w:br/>
      </w:r>
      <w:r>
        <w:rPr>
          <w:b w:val="1"/>
        </w:rPr>
        <w:t>Ecosystem role:</w:t>
      </w:r>
      <w:r>
        <w:t xml:space="preserve"> positioned as part of a broader product stack, where the model can be embedded into services, internal tools, and business workflows.</w:t>
      </w:r>
      <w:r>
        <w:br/>
      </w:r>
      <w:r>
        <w:rPr>
          <w:b w:val="1"/>
        </w:rPr>
        <w:t>Typical usage:</w:t>
      </w:r>
      <w:r>
        <w:t xml:space="preserve"> answering questions, supporting office tasks, assisting with coding and documentation, and integrating with corporate information systems.</w:t>
      </w:r>
      <w:r>
        <w:br/>
      </w:r>
      <w:r>
        <w:rPr>
          <w:b w:val="1"/>
        </w:rPr>
        <w:t>Safety and limitations:</w:t>
      </w:r>
      <w:r>
        <w:t xml:space="preserve"> real-world performance and risk profile depend on integration choices, guardrails, and monitoring; organizations remain responsible for evaluation and oversight.</w:t>
      </w:r>
    </w:p>
    <w:p w14:paraId="07000000">
      <w:pPr>
        <w:spacing w:after="269" w:before="269"/>
        <w:ind w:firstLine="0" w:left="0" w:right="0"/>
        <w:rPr>
          <w:b w:val="1"/>
        </w:rPr>
      </w:pPr>
      <w:r>
        <w:rPr>
          <w:b w:val="1"/>
        </w:rPr>
        <w:t>3.3 RuGPT-3 Family</w:t>
      </w:r>
    </w:p>
    <w:p w14:paraId="08000000">
      <w:pPr>
        <w:spacing w:after="269" w:before="269"/>
        <w:ind w:firstLine="0" w:left="0" w:right="0"/>
      </w:pPr>
      <w:r>
        <w:rPr>
          <w:b w:val="1"/>
        </w:rPr>
        <w:t>Modality:</w:t>
      </w:r>
      <w:r>
        <w:t xml:space="preserve"> text.</w:t>
      </w:r>
      <w:r>
        <w:br/>
      </w:r>
      <w:r>
        <w:rPr>
          <w:b w:val="1"/>
        </w:rPr>
        <w:t>Primary tasks:</w:t>
      </w:r>
      <w:r>
        <w:t xml:space="preserve"> text generation and continuation, paraphrasing, and style transfer within Russian-centric domains.</w:t>
      </w:r>
      <w:r>
        <w:br/>
      </w:r>
      <w:r>
        <w:rPr>
          <w:b w:val="1"/>
        </w:rPr>
        <w:t>Ecosystem role:</w:t>
      </w:r>
      <w:r>
        <w:t xml:space="preserve"> language models aimed at research and application in Russian-language tasks, sometimes serving as baselines or starting points for domain-specific fine-tuning.</w:t>
      </w:r>
      <w:r>
        <w:br/>
      </w:r>
      <w:r>
        <w:rPr>
          <w:b w:val="1"/>
        </w:rPr>
        <w:t>Typical usage:</w:t>
      </w:r>
      <w:r>
        <w:t xml:space="preserve"> generating drafts, creative text, or technical fragments, often combined with external filters, retrieval, or rule-based systems.</w:t>
      </w:r>
      <w:r>
        <w:br/>
      </w:r>
      <w:r>
        <w:rPr>
          <w:b w:val="1"/>
        </w:rPr>
        <w:t>Safety and limitations:</w:t>
      </w:r>
      <w:r>
        <w:t xml:space="preserve"> as with other generative models, outputs may contain inaccuracies, outdated information, or undesired content; careful curation and post-processing are recommended.</w:t>
      </w:r>
    </w:p>
    <w:p w14:paraId="09000000">
      <w:pPr>
        <w:spacing w:after="269" w:before="269"/>
        <w:ind w:firstLine="0" w:left="0" w:right="0"/>
        <w:rPr>
          <w:b w:val="1"/>
        </w:rPr>
      </w:pPr>
      <w:r>
        <w:rPr>
          <w:b w:val="1"/>
        </w:rPr>
        <w:t>3.4 Kandinsky 3.x (Text-to-Image)</w:t>
      </w:r>
    </w:p>
    <w:p w14:paraId="0A000000">
      <w:pPr>
        <w:spacing w:after="269" w:before="269"/>
        <w:ind w:firstLine="0" w:left="0" w:right="0"/>
      </w:pPr>
      <w:r>
        <w:rPr>
          <w:b w:val="1"/>
        </w:rPr>
        <w:t>Modality:</w:t>
      </w:r>
      <w:r>
        <w:t xml:space="preserve"> image (text-to-image generation).</w:t>
      </w:r>
      <w:r>
        <w:br/>
      </w:r>
      <w:r>
        <w:rPr>
          <w:b w:val="1"/>
        </w:rPr>
        <w:t>Primary tasks:</w:t>
      </w:r>
      <w:r>
        <w:t xml:space="preserve"> generating images from textual prompts for illustration, design, and creative experimentation.</w:t>
      </w:r>
      <w:r>
        <w:br/>
      </w:r>
      <w:r>
        <w:rPr>
          <w:b w:val="1"/>
        </w:rPr>
        <w:t>Ecosystem role:</w:t>
      </w:r>
      <w:r>
        <w:t xml:space="preserve"> part of the broader generative art and design landscape, where users iteratively refine prompts, styles, and compositions.</w:t>
      </w:r>
      <w:r>
        <w:br/>
      </w:r>
      <w:r>
        <w:rPr>
          <w:b w:val="1"/>
        </w:rPr>
        <w:t>Typical usage:</w:t>
      </w:r>
      <w:r>
        <w:t xml:space="preserve"> concept art, visual storyboards, decorative imagery, and rapid prototyping of visual ideas based on short textual descriptions.</w:t>
      </w:r>
      <w:r>
        <w:br/>
      </w:r>
      <w:r>
        <w:rPr>
          <w:b w:val="1"/>
        </w:rPr>
        <w:t>Safety and limitations:</w:t>
      </w:r>
      <w:r>
        <w:t xml:space="preserve"> image quality and appropriateness depend on prompt design, content filters, and deployment policies. Generative outputs require human review before use in public or sensitive contexts.</w:t>
      </w:r>
    </w:p>
    <w:p w14:paraId="0B000000">
      <w:pPr>
        <w:spacing w:after="269" w:before="269"/>
        <w:ind w:firstLine="0" w:left="0" w:right="0"/>
        <w:rPr>
          <w:b w:val="1"/>
        </w:rPr>
      </w:pPr>
      <w:r>
        <w:rPr>
          <w:b w:val="1"/>
        </w:rPr>
        <w:t>3.5 DeepPavlov and Related NLP Tooling</w:t>
      </w:r>
    </w:p>
    <w:p w14:paraId="0C000000">
      <w:pPr>
        <w:spacing w:after="269" w:before="269"/>
        <w:ind w:firstLine="0" w:left="0" w:right="0"/>
      </w:pPr>
      <w:r>
        <w:rPr>
          <w:b w:val="1"/>
        </w:rPr>
        <w:t>Modality:</w:t>
      </w:r>
      <w:r>
        <w:t xml:space="preserve"> text (toolkit and pretrained components).</w:t>
      </w:r>
      <w:r>
        <w:br/>
      </w:r>
      <w:r>
        <w:rPr>
          <w:b w:val="1"/>
        </w:rPr>
        <w:t>Primary tasks:</w:t>
      </w:r>
      <w:r>
        <w:t xml:space="preserve"> named entity recognition, question answering, dialog components, classification, and other classic NLP tasks.</w:t>
      </w:r>
      <w:r>
        <w:br/>
      </w:r>
      <w:r>
        <w:rPr>
          <w:b w:val="1"/>
        </w:rPr>
        <w:t>Ecosystem role:</w:t>
      </w:r>
      <w:r>
        <w:t xml:space="preserve"> research- and education-oriented toolkit that provides building blocks for constructing domain-specific systems and experiments.</w:t>
      </w:r>
      <w:r>
        <w:br/>
      </w:r>
      <w:r>
        <w:rPr>
          <w:b w:val="1"/>
        </w:rPr>
        <w:t>Typical usage:</w:t>
      </w:r>
      <w:r>
        <w:t xml:space="preserve"> assembling dialog systems, QA pipelines, or prototypes by combining pretrained models, datasets, and scripts within the toolkit.</w:t>
      </w:r>
      <w:r>
        <w:br/>
      </w:r>
      <w:r>
        <w:rPr>
          <w:b w:val="1"/>
        </w:rPr>
        <w:t>Safety and limitations:</w:t>
      </w:r>
      <w:r>
        <w:t xml:space="preserve"> as a toolkit, behavior strongly depends on how components are combined, trained, and deployed by the user; responsibility for data selection and evaluation lies with the integrator.</w:t>
      </w:r>
    </w:p>
    <w:p w14:paraId="0D000000">
      <w:pPr>
        <w:spacing w:after="269" w:before="269"/>
        <w:ind w:firstLine="0" w:left="0" w:right="0"/>
        <w:rPr>
          <w:b w:val="1"/>
        </w:rPr>
      </w:pPr>
      <w:r>
        <w:rPr>
          <w:b w:val="1"/>
        </w:rPr>
        <w:t>3.6 Speech Systems (TTS / ASR)</w:t>
      </w:r>
    </w:p>
    <w:p w14:paraId="0E000000">
      <w:pPr>
        <w:spacing w:after="269" w:before="269"/>
        <w:ind w:firstLine="0" w:left="0" w:right="0"/>
      </w:pPr>
      <w:r>
        <w:rPr>
          <w:b w:val="1"/>
        </w:rPr>
        <w:t>Modality:</w:t>
      </w:r>
      <w:r>
        <w:t xml:space="preserve"> speech (text-to-speech, speech-to-text).</w:t>
      </w:r>
      <w:r>
        <w:br/>
      </w:r>
      <w:r>
        <w:rPr>
          <w:b w:val="1"/>
        </w:rPr>
        <w:t>Primary tasks:</w:t>
      </w:r>
      <w:r>
        <w:t xml:space="preserve"> speech synthesis (TTS), automatic speech recognition (ASR), and voice interfaces for applications and devices.</w:t>
      </w:r>
      <w:r>
        <w:br/>
      </w:r>
      <w:r>
        <w:rPr>
          <w:b w:val="1"/>
        </w:rPr>
        <w:t>Ecosystem role:</w:t>
      </w:r>
      <w:r>
        <w:t xml:space="preserve"> foundational components for voice assistants, call centers, accessibility features, and multimedia services.</w:t>
      </w:r>
      <w:r>
        <w:br/>
      </w:r>
      <w:r>
        <w:rPr>
          <w:b w:val="1"/>
        </w:rPr>
        <w:t>Typical usage:</w:t>
      </w:r>
      <w:r>
        <w:t xml:space="preserve"> converting spoken input into text for further processing (ASR), and generating natural-sounding speech from text in different voices and styles (TTS).</w:t>
      </w:r>
      <w:r>
        <w:br/>
      </w:r>
      <w:r>
        <w:rPr>
          <w:b w:val="1"/>
        </w:rPr>
        <w:t>Safety and limitations:</w:t>
      </w:r>
      <w:r>
        <w:t xml:space="preserve"> quality and robustness depend on acoustic conditions, domain, and language variety. Misrecognition or inappropriate synthesis can impact user experience; human supervision and testing are important, especially in regulated domains.</w:t>
      </w:r>
    </w:p>
    <w:p w14:paraId="0F000000">
      <w:pPr>
        <w:spacing w:after="269" w:before="269"/>
        <w:ind w:firstLine="0" w:left="0" w:right="0"/>
        <w:rPr>
          <w:b w:val="1"/>
        </w:rPr>
      </w:pPr>
      <w:r>
        <w:rPr>
          <w:b w:val="1"/>
        </w:rPr>
        <w:t>3.7 Other and Emerging Systems (Placeholder)</w:t>
      </w:r>
    </w:p>
    <w:p w14:paraId="10000000">
      <w:pPr>
        <w:spacing w:after="269" w:before="269"/>
        <w:ind w:firstLine="0" w:left="0" w:right="0"/>
      </w:pPr>
      <w:r>
        <w:rPr>
          <w:b w:val="1"/>
        </w:rPr>
        <w:t>Modality:</w:t>
      </w:r>
      <w:r>
        <w:t xml:space="preserve"> mixed (to be specified).</w:t>
      </w:r>
      <w:r>
        <w:br/>
      </w:r>
      <w:r>
        <w:rPr>
          <w:b w:val="1"/>
        </w:rPr>
        <w:t>Primary tasks:</w:t>
      </w:r>
      <w:r>
        <w:t xml:space="preserve"> to be determined as new systems and releases appear.</w:t>
      </w:r>
      <w:r>
        <w:br/>
      </w:r>
      <w:r>
        <w:rPr>
          <w:b w:val="1"/>
        </w:rPr>
        <w:t>Ecosystem role:</w:t>
      </w:r>
      <w:r>
        <w:t xml:space="preserve"> this slot is reserved for emerging models, tools, or platforms that may become relevant in future iterations of this overview.</w:t>
      </w:r>
      <w:r>
        <w:br/>
      </w:r>
      <w:r>
        <w:rPr>
          <w:b w:val="1"/>
        </w:rPr>
        <w:t>Safety and limitations:</w:t>
      </w:r>
      <w:r>
        <w:t xml:space="preserve"> as new systems are introduced, careful documentation, evaluation, and risk assessment remain necessary before deployment.</w:t>
      </w:r>
    </w:p>
    <w:p w14:paraId="11000000">
      <w:pPr>
        <w:spacing w:after="232" w:before="232"/>
        <w:ind w:firstLine="0" w:left="0" w:right="0"/>
        <w:rPr>
          <w:b w:val="1"/>
          <w:sz w:val="28"/>
        </w:rPr>
      </w:pPr>
      <w:r>
        <w:rPr>
          <w:b w:val="1"/>
          <w:sz w:val="28"/>
        </w:rPr>
        <w:t>4. Considerations: Transparency, Safety, and Evaluation</w:t>
      </w:r>
    </w:p>
    <w:p w14:paraId="12000000">
      <w:pPr>
        <w:spacing w:after="269" w:before="269"/>
        <w:ind w:firstLine="0" w:left="0" w:right="0"/>
      </w:pPr>
      <w:r>
        <w:t>This overview intentionally avoids ranking systems or making strong claims about their relative performance. Public information often focuses on capabilities, integrations, and branding, while detailed documentation of training data, safety evaluations, and limitations may be partial or evolving. This creates a gap between high-level descriptions and the evidence needed to assess real-world reliability and risk.</w:t>
      </w:r>
    </w:p>
    <w:p w14:paraId="13000000">
      <w:pPr>
        <w:spacing w:after="269" w:before="269"/>
        <w:ind w:firstLine="0" w:left="0" w:right="0"/>
      </w:pPr>
      <w:r>
        <w:t>A practical approach is to treat any such system as a component that requires contextual evaluation: task-specific benchmarks, stress tests on out-of-distribution data, and monitoring under realistic user behavior. Transparency on datasets, filtering, update policies, and content controls is essential, but may not always be fully available. Therefore, organizations adopting these systems should combine vendor documentation with independent testing, especially in high-stakes settings.</w:t>
      </w:r>
    </w:p>
    <w:p w14:paraId="14000000">
      <w:pPr>
        <w:spacing w:after="232" w:before="232"/>
        <w:ind w:firstLine="0" w:left="0" w:right="0"/>
        <w:rPr>
          <w:b w:val="1"/>
          <w:sz w:val="28"/>
        </w:rPr>
      </w:pPr>
      <w:r>
        <w:rPr>
          <w:b w:val="1"/>
          <w:sz w:val="28"/>
        </w:rPr>
        <w:t>5. Conclusion</w:t>
      </w:r>
    </w:p>
    <w:p w14:paraId="15000000">
      <w:pPr>
        <w:spacing w:after="269" w:before="269"/>
        <w:ind w:firstLine="0" w:left="0" w:right="0"/>
      </w:pPr>
      <w:r>
        <w:t>This supplementary note offers a minimal, structured view of selected AI systems in the Russian ecosystem across text, code, speech, and image modalities. It is not a ranking and does not aim at technical completeness; rather, it serves as a starting point and a neutral map. As AI capabilities and deployments evolve, responsible use requires up-to-date documentation, explicit safety practices, and independent assessment of performance and risks in each concrete application domain.</w:t>
      </w:r>
    </w:p>
    <w:p w14:paraId="16000000">
      <w:pPr>
        <w:pStyle w:val="Style_1"/>
      </w:pPr>
    </w:p>
    <w:sectPr>
      <w:pgSz w:h="16838" w:orient="portrait" w:w="11906"/>
      <w:pgMar w:bottom="1134" w:left="1304" w:right="737" w:top="1134"/>
      <w:pgNumType w:fmt="decimal"/>
    </w:sectPr>
  </w:body>
</w:document>
</file>

<file path=word/fontTable.xml><?xml version="1.0" encoding="utf-8"?>
<w:fonts xmlns:w="http://schemas.openxmlformats.org/wordprocessingml/2006/main">
  <w:font w:name="Cambria">
    <w:panose1 w:val="02040503050406030204"/>
    <w:charset w:val="00"/>
    <w:family w:val="auto"/>
    <w:pitch w:val="variable"/>
    <w:sig w:csb0="0000019F" w:csb1="00000000" w:usb0="E00002FF" w:usb1="400004FF" w:usb2="00000000" w:usb3="00000000"/>
  </w:font>
  <w:font w:name="ＭＳ 明朝">
    <w:panose1 w:val="00000000000000000000"/>
    <w:charset w:val="80"/>
    <w:family w:val="roman"/>
    <w:notTrueType/>
    <w:pitch w:val="fixed"/>
    <w:sig w:csb0="00020000" w:csb1="00000000" w:usb0="00000001" w:usb1="08070000" w:usb2="00000010" w:usb3="00000000"/>
  </w:font>
  <w:font w:name="Times New Roman">
    <w:panose1 w:val="02020603050405020304"/>
    <w:charset w:val="00"/>
    <w:family w:val="auto"/>
    <w:pitch w:val="variable"/>
    <w:sig w:csb0="00000001" w:csb1="00000000" w:usb0="00000003" w:usb1="00000000" w:usb2="00000000" w:usb3="00000000"/>
  </w:font>
  <w:font w:name="Calibri">
    <w:panose1 w:val="020F0502020204030204"/>
    <w:charset w:val="00"/>
    <w:family w:val="auto"/>
    <w:pitch w:val="variable"/>
    <w:sig w:csb0="0000019F" w:csb1="00000000" w:usb0="E10002FF" w:usb1="4000ACFF" w:usb2="00000009" w:usb3="00000000"/>
  </w:font>
  <w:font w:name="ＭＳ ゴシック">
    <w:panose1 w:val="00000000000000000000"/>
    <w:charset w:val="80"/>
    <w:family w:val="modern"/>
    <w:notTrueType/>
    <w:pitch w:val="fixed"/>
    <w:sig w:csb0="00020000" w:csb1="00000000" w:usb0="00000001" w:usb1="08070000" w:usb2="00000010" w:usb3="00000000"/>
  </w:font>
  <w:font w:name="Consolas">
    <w:panose1 w:val="020B0609020204030204"/>
    <w:charset w:val="00"/>
    <w:family w:val="auto"/>
    <w:pitch w:val="variable"/>
    <w:sig w:csb0="0000019F" w:csb1="00000000" w:usb0="E10002FF" w:usb1="4000FCFF" w:usb2="00000009" w:usb3="00000000"/>
  </w:font>
  <w:font w:name="Arial">
    <w:panose1 w:val="020B0604020202020204"/>
    <w:charset w:val="00"/>
    <w:family w:val="auto"/>
    <w:pitch w:val="variable"/>
    <w:sig w:csb0="00000001" w:csb1="00000000" w:usb0="00000003" w:usb1="00000000" w:usb2="00000000" w:usb3="00000000"/>
  </w:font>
</w:fonts>
</file>

<file path=word/settings.xml><?xml version="1.0" encoding="utf-8"?>
<w:settings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defaultTabStop w:val="720"/>
  <w:compat>
    <w:compatSetting w:name="compatibilityMode" w:uri="http://schemas.microsoft.com/office/word" w:val="15"/>
  </w:compat>
  <w:clrSchemeMapping w:accent1="accent1" w:accent2="accent2" w:accent3="accent3" w:accent4="accent4" w:accent5="accent5" w:accent6="accent6" w:bg1="light1" w:bg2="light2" w:followedHyperlink="followedHyperlink" w:hyperlink="hyperlink" w:t1="dark1" w:t2="dark2"/>
</w:settings>
</file>

<file path=word/styles.xml><?xml version="1.0" encoding="utf-8"?>
<w:styles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docDefaults>
    <w:rPrDefault>
      <w:rPr>
        <w:rFonts w:ascii="XO Thames" w:hAnsi="XO Thames"/>
        <w:color w:val="000000"/>
        <w:spacing w:val="0"/>
        <w:sz w:val="24"/>
      </w:rPr>
    </w:rPrDefault>
    <w:pPrDefault>
      <w:pPr>
        <w:widowControl w:val="1"/>
        <w:spacing w:after="0" w:before="0" w:line="240" w:lineRule="auto"/>
        <w:ind w:firstLine="0" w:left="0" w:right="0"/>
        <w:jc w:val="left"/>
      </w:pPr>
    </w:pPrDefault>
  </w:docDefaults>
  <w:latentStyles w:count="25"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unhideWhenUsed="0"/>
    <w:lsdException w:name="heading 3" w:qFormat="1" w:semiHidden="0" w:uiPriority="9" w:unhideWhenUsed="0"/>
    <w:lsdException w:name="heading 4" w:qFormat="1" w:semiHidden="0" w:uiPriority="9" w:unhideWhenUsed="0"/>
    <w:lsdException w:name="heading 5" w:qFormat="1" w:semiHidden="0" w:uiPriority="9" w:unhideWhenUsed="0"/>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Title" w:qFormat="1" w:semiHidden="0" w:uiPriority="10" w:unhideWhenUsed="0"/>
    <w:lsdException w:name="Subtitle" w:qFormat="1" w:semiHidden="0" w:uiPriority="11" w:unhideWhenUsed="0"/>
    <w:lsdException w:name="Header and Footer" w:qFormat="0" w:semiHidden="0" w:unhideWhenUsed="0"/>
    <w:lsdException w:name="Footnote" w:qFormat="0" w:semiHidden="0" w:unhideWhenUsed="0"/>
    <w:lsdException w:name="Endnote" w:qFormat="0" w:semiHidden="0" w:unhideWhenUsed="0"/>
    <w:lsdException w:name="toc 1" w:qFormat="0" w:semiHidden="0" w:uiPriority="39" w:unhideWhenUsed="0"/>
    <w:lsdException w:name="toc 2" w:qFormat="0" w:semiHidden="0" w:uiPriority="39" w:unhideWhenUsed="0"/>
    <w:lsdException w:name="toc 3" w:qFormat="0" w:semiHidden="0" w:uiPriority="39" w:unhideWhenUsed="0"/>
    <w:lsdException w:name="toc 4" w:qFormat="0" w:semiHidden="0" w:uiPriority="39" w:unhideWhenUsed="0"/>
    <w:lsdException w:name="toc 5" w:qFormat="0" w:semiHidden="0" w:uiPriority="39" w:unhideWhenUsed="0"/>
    <w:lsdException w:name="toc 6" w:qFormat="0" w:semiHidden="0" w:uiPriority="39" w:unhideWhenUsed="0"/>
    <w:lsdException w:name="toc 7" w:qFormat="0" w:semiHidden="0" w:uiPriority="39" w:unhideWhenUsed="0"/>
    <w:lsdException w:name="toc 8" w:qFormat="0" w:semiHidden="0" w:uiPriority="39" w:unhideWhenUsed="0"/>
    <w:lsdException w:name="toc 9" w:qFormat="0" w:semiHidden="0" w:uiPriority="39" w:unhideWhenUsed="0"/>
    <w:lsdException w:name="Hyperlink" w:qFormat="0" w:semiHidden="0" w:unhideWhenUsed="0"/>
  </w:latentStyles>
  <w:style w:default="1" w:styleId="Style_1" w:type="paragraph">
    <w:name w:val="Normal"/>
    <w:link w:val="Style_1_ch"/>
    <w:uiPriority w:val="0"/>
    <w:qFormat/>
    <w:pPr>
      <w:widowControl w:val="1"/>
      <w:spacing w:line="240" w:lineRule="auto"/>
      <w:ind/>
      <w:jc w:val="both"/>
    </w:pPr>
    <w:rPr>
      <w:rFonts w:ascii="XO Thames" w:hAnsi="XO Thames"/>
      <w:sz w:val="28"/>
    </w:rPr>
  </w:style>
  <w:style w:default="1" w:styleId="Style_1_ch" w:type="character">
    <w:name w:val="Normal"/>
    <w:link w:val="Style_1"/>
    <w:rPr>
      <w:rFonts w:ascii="XO Thames" w:hAnsi="XO Thames"/>
      <w:sz w:val="28"/>
    </w:rPr>
  </w:style>
  <w:style w:styleId="Style_2" w:type="paragraph">
    <w:name w:val="toc 2"/>
    <w:next w:val="Style_1"/>
    <w:link w:val="Style_2_ch"/>
    <w:uiPriority w:val="39"/>
    <w:pPr>
      <w:ind w:firstLine="0" w:left="200"/>
      <w:jc w:val="left"/>
    </w:pPr>
    <w:rPr>
      <w:rFonts w:ascii="XO Thames" w:hAnsi="XO Thames"/>
      <w:sz w:val="28"/>
    </w:rPr>
  </w:style>
  <w:style w:styleId="Style_2_ch" w:type="character">
    <w:name w:val="toc 2"/>
    <w:link w:val="Style_2"/>
    <w:rPr>
      <w:rFonts w:ascii="XO Thames" w:hAnsi="XO Thames"/>
      <w:sz w:val="28"/>
    </w:rPr>
  </w:style>
  <w:style w:styleId="Style_3" w:type="paragraph">
    <w:name w:val="toc 4"/>
    <w:next w:val="Style_1"/>
    <w:link w:val="Style_3_ch"/>
    <w:uiPriority w:val="39"/>
    <w:pPr>
      <w:ind w:firstLine="0" w:left="600"/>
      <w:jc w:val="left"/>
    </w:pPr>
    <w:rPr>
      <w:rFonts w:ascii="XO Thames" w:hAnsi="XO Thames"/>
      <w:sz w:val="28"/>
    </w:rPr>
  </w:style>
  <w:style w:styleId="Style_3_ch" w:type="character">
    <w:name w:val="toc 4"/>
    <w:link w:val="Style_3"/>
    <w:rPr>
      <w:rFonts w:ascii="XO Thames" w:hAnsi="XO Thames"/>
      <w:sz w:val="28"/>
    </w:rPr>
  </w:style>
  <w:style w:styleId="Style_4" w:type="paragraph">
    <w:name w:val="toc 6"/>
    <w:next w:val="Style_1"/>
    <w:link w:val="Style_4_ch"/>
    <w:uiPriority w:val="39"/>
    <w:pPr>
      <w:ind w:firstLine="0" w:left="1000"/>
      <w:jc w:val="left"/>
    </w:pPr>
    <w:rPr>
      <w:rFonts w:ascii="XO Thames" w:hAnsi="XO Thames"/>
      <w:sz w:val="28"/>
    </w:rPr>
  </w:style>
  <w:style w:styleId="Style_4_ch" w:type="character">
    <w:name w:val="toc 6"/>
    <w:link w:val="Style_4"/>
    <w:rPr>
      <w:rFonts w:ascii="XO Thames" w:hAnsi="XO Thames"/>
      <w:sz w:val="28"/>
    </w:rPr>
  </w:style>
  <w:style w:styleId="Style_5" w:type="paragraph">
    <w:name w:val="toc 7"/>
    <w:next w:val="Style_1"/>
    <w:link w:val="Style_5_ch"/>
    <w:uiPriority w:val="39"/>
    <w:pPr>
      <w:ind w:firstLine="0" w:left="1200"/>
      <w:jc w:val="left"/>
    </w:pPr>
    <w:rPr>
      <w:rFonts w:ascii="XO Thames" w:hAnsi="XO Thames"/>
      <w:sz w:val="28"/>
    </w:rPr>
  </w:style>
  <w:style w:styleId="Style_5_ch" w:type="character">
    <w:name w:val="toc 7"/>
    <w:link w:val="Style_5"/>
    <w:rPr>
      <w:rFonts w:ascii="XO Thames" w:hAnsi="XO Thames"/>
      <w:sz w:val="28"/>
    </w:rPr>
  </w:style>
  <w:style w:styleId="Style_6" w:type="paragraph">
    <w:name w:val="Endnote"/>
    <w:link w:val="Style_6_ch"/>
    <w:pPr>
      <w:ind w:firstLine="851" w:left="0"/>
      <w:jc w:val="both"/>
    </w:pPr>
    <w:rPr>
      <w:rFonts w:ascii="XO Thames" w:hAnsi="XO Thames"/>
      <w:sz w:val="22"/>
    </w:rPr>
  </w:style>
  <w:style w:styleId="Style_6_ch" w:type="character">
    <w:name w:val="Endnote"/>
    <w:link w:val="Style_6"/>
    <w:rPr>
      <w:rFonts w:ascii="XO Thames" w:hAnsi="XO Thames"/>
      <w:sz w:val="22"/>
    </w:rPr>
  </w:style>
  <w:style w:styleId="Style_7" w:type="paragraph">
    <w:name w:val="heading 3"/>
    <w:next w:val="Style_1"/>
    <w:link w:val="Style_7_ch"/>
    <w:uiPriority w:val="9"/>
    <w:qFormat/>
    <w:pPr>
      <w:spacing w:after="120" w:before="120"/>
      <w:ind/>
      <w:jc w:val="both"/>
      <w:outlineLvl w:val="2"/>
    </w:pPr>
    <w:rPr>
      <w:rFonts w:ascii="XO Thames" w:hAnsi="XO Thames"/>
      <w:b w:val="1"/>
      <w:sz w:val="26"/>
    </w:rPr>
  </w:style>
  <w:style w:styleId="Style_7_ch" w:type="character">
    <w:name w:val="heading 3"/>
    <w:link w:val="Style_7"/>
    <w:rPr>
      <w:rFonts w:ascii="XO Thames" w:hAnsi="XO Thames"/>
      <w:b w:val="1"/>
      <w:sz w:val="26"/>
    </w:rPr>
  </w:style>
  <w:style w:styleId="Style_8" w:type="paragraph">
    <w:name w:val="toc 3"/>
    <w:next w:val="Style_1"/>
    <w:link w:val="Style_8_ch"/>
    <w:uiPriority w:val="39"/>
    <w:pPr>
      <w:ind w:firstLine="0" w:left="400"/>
      <w:jc w:val="left"/>
    </w:pPr>
    <w:rPr>
      <w:rFonts w:ascii="XO Thames" w:hAnsi="XO Thames"/>
      <w:sz w:val="28"/>
    </w:rPr>
  </w:style>
  <w:style w:styleId="Style_8_ch" w:type="character">
    <w:name w:val="toc 3"/>
    <w:link w:val="Style_8"/>
    <w:rPr>
      <w:rFonts w:ascii="XO Thames" w:hAnsi="XO Thames"/>
      <w:sz w:val="28"/>
    </w:rPr>
  </w:style>
  <w:style w:styleId="Style_9" w:type="paragraph">
    <w:name w:val="heading 5"/>
    <w:next w:val="Style_1"/>
    <w:link w:val="Style_9_ch"/>
    <w:uiPriority w:val="9"/>
    <w:qFormat/>
    <w:pPr>
      <w:spacing w:after="120" w:before="120"/>
      <w:ind/>
      <w:jc w:val="both"/>
      <w:outlineLvl w:val="4"/>
    </w:pPr>
    <w:rPr>
      <w:rFonts w:ascii="XO Thames" w:hAnsi="XO Thames"/>
      <w:b w:val="1"/>
      <w:sz w:val="22"/>
    </w:rPr>
  </w:style>
  <w:style w:styleId="Style_9_ch" w:type="character">
    <w:name w:val="heading 5"/>
    <w:link w:val="Style_9"/>
    <w:rPr>
      <w:rFonts w:ascii="XO Thames" w:hAnsi="XO Thames"/>
      <w:b w:val="1"/>
      <w:sz w:val="22"/>
    </w:rPr>
  </w:style>
  <w:style w:styleId="Style_10" w:type="paragraph">
    <w:name w:val="heading 1"/>
    <w:next w:val="Style_1"/>
    <w:link w:val="Style_10_ch"/>
    <w:uiPriority w:val="9"/>
    <w:qFormat/>
    <w:pPr>
      <w:spacing w:after="120" w:before="120"/>
      <w:ind/>
      <w:jc w:val="both"/>
      <w:outlineLvl w:val="0"/>
    </w:pPr>
    <w:rPr>
      <w:rFonts w:ascii="XO Thames" w:hAnsi="XO Thames"/>
      <w:b w:val="1"/>
      <w:sz w:val="32"/>
    </w:rPr>
  </w:style>
  <w:style w:styleId="Style_10_ch" w:type="character">
    <w:name w:val="heading 1"/>
    <w:link w:val="Style_10"/>
    <w:rPr>
      <w:rFonts w:ascii="XO Thames" w:hAnsi="XO Thames"/>
      <w:b w:val="1"/>
      <w:sz w:val="32"/>
    </w:rPr>
  </w:style>
  <w:style w:styleId="Style_11" w:type="paragraph">
    <w:name w:val="Hyperlink"/>
    <w:link w:val="Style_11_ch"/>
    <w:rPr>
      <w:color w:val="0000FF"/>
      <w:u w:val="single"/>
    </w:rPr>
  </w:style>
  <w:style w:styleId="Style_11_ch" w:type="character">
    <w:name w:val="Hyperlink"/>
    <w:link w:val="Style_11"/>
    <w:rPr>
      <w:color w:val="0000FF"/>
      <w:u w:val="single"/>
    </w:rPr>
  </w:style>
  <w:style w:styleId="Style_12" w:type="paragraph">
    <w:name w:val="Footnote"/>
    <w:link w:val="Style_12_ch"/>
    <w:pPr>
      <w:ind w:firstLine="851" w:left="0"/>
      <w:jc w:val="both"/>
    </w:pPr>
    <w:rPr>
      <w:rFonts w:ascii="XO Thames" w:hAnsi="XO Thames"/>
      <w:sz w:val="22"/>
    </w:rPr>
  </w:style>
  <w:style w:styleId="Style_12_ch" w:type="character">
    <w:name w:val="Footnote"/>
    <w:link w:val="Style_12"/>
    <w:rPr>
      <w:rFonts w:ascii="XO Thames" w:hAnsi="XO Thames"/>
      <w:sz w:val="22"/>
    </w:rPr>
  </w:style>
  <w:style w:styleId="Style_13" w:type="paragraph">
    <w:name w:val="toc 1"/>
    <w:next w:val="Style_1"/>
    <w:link w:val="Style_13_ch"/>
    <w:uiPriority w:val="39"/>
    <w:pPr>
      <w:ind w:firstLine="0" w:left="0"/>
      <w:jc w:val="left"/>
    </w:pPr>
    <w:rPr>
      <w:rFonts w:ascii="XO Thames" w:hAnsi="XO Thames"/>
      <w:b w:val="1"/>
      <w:sz w:val="28"/>
    </w:rPr>
  </w:style>
  <w:style w:styleId="Style_13_ch" w:type="character">
    <w:name w:val="toc 1"/>
    <w:link w:val="Style_13"/>
    <w:rPr>
      <w:rFonts w:ascii="XO Thames" w:hAnsi="XO Thames"/>
      <w:b w:val="1"/>
      <w:sz w:val="28"/>
    </w:rPr>
  </w:style>
  <w:style w:styleId="Style_14" w:type="paragraph">
    <w:name w:val="Header and Footer"/>
    <w:link w:val="Style_14_ch"/>
    <w:pPr>
      <w:spacing w:line="240" w:lineRule="auto"/>
      <w:ind/>
      <w:jc w:val="both"/>
    </w:pPr>
    <w:rPr>
      <w:rFonts w:ascii="XO Thames" w:hAnsi="XO Thames"/>
      <w:sz w:val="28"/>
    </w:rPr>
  </w:style>
  <w:style w:styleId="Style_14_ch" w:type="character">
    <w:name w:val="Header and Footer"/>
    <w:link w:val="Style_14"/>
    <w:rPr>
      <w:rFonts w:ascii="XO Thames" w:hAnsi="XO Thames"/>
      <w:sz w:val="28"/>
    </w:rPr>
  </w:style>
  <w:style w:styleId="Style_15" w:type="paragraph">
    <w:name w:val="toc 9"/>
    <w:next w:val="Style_1"/>
    <w:link w:val="Style_15_ch"/>
    <w:uiPriority w:val="39"/>
    <w:pPr>
      <w:ind w:firstLine="0" w:left="1600"/>
      <w:jc w:val="left"/>
    </w:pPr>
    <w:rPr>
      <w:rFonts w:ascii="XO Thames" w:hAnsi="XO Thames"/>
      <w:sz w:val="28"/>
    </w:rPr>
  </w:style>
  <w:style w:styleId="Style_15_ch" w:type="character">
    <w:name w:val="toc 9"/>
    <w:link w:val="Style_15"/>
    <w:rPr>
      <w:rFonts w:ascii="XO Thames" w:hAnsi="XO Thames"/>
      <w:sz w:val="28"/>
    </w:rPr>
  </w:style>
  <w:style w:styleId="Style_16" w:type="paragraph">
    <w:name w:val="toc 8"/>
    <w:next w:val="Style_1"/>
    <w:link w:val="Style_16_ch"/>
    <w:uiPriority w:val="39"/>
    <w:pPr>
      <w:ind w:firstLine="0" w:left="1400"/>
      <w:jc w:val="left"/>
    </w:pPr>
    <w:rPr>
      <w:rFonts w:ascii="XO Thames" w:hAnsi="XO Thames"/>
      <w:sz w:val="28"/>
    </w:rPr>
  </w:style>
  <w:style w:styleId="Style_16_ch" w:type="character">
    <w:name w:val="toc 8"/>
    <w:link w:val="Style_16"/>
    <w:rPr>
      <w:rFonts w:ascii="XO Thames" w:hAnsi="XO Thames"/>
      <w:sz w:val="28"/>
    </w:rPr>
  </w:style>
  <w:style w:styleId="Style_17" w:type="paragraph">
    <w:name w:val="toc 5"/>
    <w:next w:val="Style_1"/>
    <w:link w:val="Style_17_ch"/>
    <w:uiPriority w:val="39"/>
    <w:pPr>
      <w:ind w:firstLine="0" w:left="800"/>
      <w:jc w:val="left"/>
    </w:pPr>
    <w:rPr>
      <w:rFonts w:ascii="XO Thames" w:hAnsi="XO Thames"/>
      <w:sz w:val="28"/>
    </w:rPr>
  </w:style>
  <w:style w:styleId="Style_17_ch" w:type="character">
    <w:name w:val="toc 5"/>
    <w:link w:val="Style_17"/>
    <w:rPr>
      <w:rFonts w:ascii="XO Thames" w:hAnsi="XO Thames"/>
      <w:sz w:val="28"/>
    </w:rPr>
  </w:style>
  <w:style w:styleId="Style_18" w:type="paragraph">
    <w:name w:val="Subtitle"/>
    <w:next w:val="Style_1"/>
    <w:link w:val="Style_18_ch"/>
    <w:uiPriority w:val="11"/>
    <w:qFormat/>
    <w:pPr>
      <w:ind/>
      <w:jc w:val="both"/>
    </w:pPr>
    <w:rPr>
      <w:rFonts w:ascii="XO Thames" w:hAnsi="XO Thames"/>
      <w:i w:val="1"/>
      <w:sz w:val="24"/>
    </w:rPr>
  </w:style>
  <w:style w:styleId="Style_18_ch" w:type="character">
    <w:name w:val="Subtitle"/>
    <w:link w:val="Style_18"/>
    <w:rPr>
      <w:rFonts w:ascii="XO Thames" w:hAnsi="XO Thames"/>
      <w:i w:val="1"/>
      <w:sz w:val="24"/>
    </w:rPr>
  </w:style>
  <w:style w:styleId="Style_19" w:type="paragraph">
    <w:name w:val="Title"/>
    <w:next w:val="Style_1"/>
    <w:link w:val="Style_19_ch"/>
    <w:uiPriority w:val="10"/>
    <w:qFormat/>
    <w:pPr>
      <w:spacing w:after="567" w:before="567"/>
      <w:ind/>
      <w:jc w:val="center"/>
    </w:pPr>
    <w:rPr>
      <w:rFonts w:ascii="XO Thames" w:hAnsi="XO Thames"/>
      <w:b w:val="1"/>
      <w:caps w:val="1"/>
      <w:sz w:val="40"/>
    </w:rPr>
  </w:style>
  <w:style w:styleId="Style_19_ch" w:type="character">
    <w:name w:val="Title"/>
    <w:link w:val="Style_19"/>
    <w:rPr>
      <w:rFonts w:ascii="XO Thames" w:hAnsi="XO Thames"/>
      <w:b w:val="1"/>
      <w:caps w:val="1"/>
      <w:sz w:val="40"/>
    </w:rPr>
  </w:style>
  <w:style w:styleId="Style_20" w:type="paragraph">
    <w:name w:val="heading 4"/>
    <w:next w:val="Style_1"/>
    <w:link w:val="Style_20_ch"/>
    <w:uiPriority w:val="9"/>
    <w:qFormat/>
    <w:pPr>
      <w:spacing w:after="120" w:before="120"/>
      <w:ind/>
      <w:jc w:val="both"/>
      <w:outlineLvl w:val="3"/>
    </w:pPr>
    <w:rPr>
      <w:rFonts w:ascii="XO Thames" w:hAnsi="XO Thames"/>
      <w:b w:val="1"/>
      <w:sz w:val="24"/>
    </w:rPr>
  </w:style>
  <w:style w:styleId="Style_20_ch" w:type="character">
    <w:name w:val="heading 4"/>
    <w:link w:val="Style_20"/>
    <w:rPr>
      <w:rFonts w:ascii="XO Thames" w:hAnsi="XO Thames"/>
      <w:b w:val="1"/>
      <w:sz w:val="24"/>
    </w:rPr>
  </w:style>
  <w:style w:styleId="Style_21" w:type="paragraph">
    <w:name w:val="heading 2"/>
    <w:next w:val="Style_1"/>
    <w:link w:val="Style_21_ch"/>
    <w:uiPriority w:val="9"/>
    <w:qFormat/>
    <w:pPr>
      <w:spacing w:after="120" w:before="120"/>
      <w:ind/>
      <w:jc w:val="both"/>
      <w:outlineLvl w:val="1"/>
    </w:pPr>
    <w:rPr>
      <w:rFonts w:ascii="XO Thames" w:hAnsi="XO Thames"/>
      <w:b w:val="1"/>
      <w:sz w:val="28"/>
    </w:rPr>
  </w:style>
  <w:style w:styleId="Style_21_ch" w:type="character">
    <w:name w:val="heading 2"/>
    <w:link w:val="Style_21"/>
    <w:rPr>
      <w:rFonts w:ascii="XO Thames" w:hAnsi="XO Thames"/>
      <w:b w:val="1"/>
      <w:sz w:val="28"/>
    </w:rPr>
  </w:style>
</w:styles>
</file>

<file path=word/stylesWithEffects.xml><?xml version="1.0" encoding="utf-8"?>
<w:styles xmlns:w="http://schemas.openxmlformats.org/wordprocessingml/2006/main">
  <w:docDefaults>
    <w:rPrDefault>
      <w:rPr>
        <w:rFonts w:asciiTheme="minorHAnsi" w:cstheme="minorBidi" w:eastAsiaTheme="minorEastAsia" w:hAnsiTheme="minorHAnsi"/>
        <w:sz w:val="24"/>
        <w:szCs w:val="24"/>
        <w:lang w:bidi="ar-SA" w:eastAsia="en-US" w:val="en-US"/>
      </w:rPr>
    </w:rPrDefault>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style>
  <w:style w:styleId="Heading1" w:type="paragraph">
    <w:name w:val="heading 1"/>
    <w:basedOn w:val="Normal"/>
    <w:next w:val="Normal"/>
    <w:link w:val="Heading1Char"/>
    <w:uiPriority w:val="9"/>
    <w:qFormat/>
    <w:rsid w:val="00111FAE"/>
    <w:pPr>
      <w:keepNext/>
      <w:keepLines/>
      <w:spacing w:before="480"/>
      <w:outlineLvl w:val="0"/>
    </w:pPr>
    <w:rPr>
      <w:rFonts w:asciiTheme="majorHAnsi" w:cstheme="majorBidi" w:eastAsiaTheme="majorEastAsia" w:hAnsiTheme="majorHAnsi"/>
      <w:b/>
      <w:bCs/>
      <w:color w:themeColor="accent1" w:themeShade="B5" w:val="345A8A"/>
      <w:sz w:val="32"/>
      <w:szCs w:val="3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111FAE"/>
    <w:rPr>
      <w:rFonts w:asciiTheme="majorHAnsi" w:cstheme="majorBidi" w:eastAsiaTheme="majorEastAsia" w:hAnsiTheme="majorHAnsi"/>
      <w:b/>
      <w:bCs/>
      <w:color w:themeColor="accent1" w:themeShade="B5" w:val="345A8A"/>
      <w:sz w:val="32"/>
      <w:szCs w:val="32"/>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no" ?>
<Relationships xmlns="http://schemas.openxmlformats.org/package/2006/relationships">
  <Relationship Id="rId6" Target="theme/theme1.xml" Type="http://schemas.openxmlformats.org/officeDocument/2006/relationships/theme"/>
  <Relationship Id="rId1" Target="fontTable.xml" Type="http://schemas.openxmlformats.org/officeDocument/2006/relationships/fontTable"/>
  <Relationship Id="rId2" Target="settings.xml" Type="http://schemas.openxmlformats.org/officeDocument/2006/relationships/settings"/>
  <Relationship Id="rId3" Target="styles.xml" Type="http://schemas.openxmlformats.org/officeDocument/2006/relationships/styles"/>
  <Relationship Id="rId4" Target="stylesWithEffects.xml" Type="http://schemas.microsoft.com/office/2007/relationships/stylesWithEffects"/>
  <Relationship Id="rId5" Target="webSettings.xml" Type="http://schemas.openxmlformats.org/officeDocument/2006/relationships/webSettings"/>
</Relationships>

</file>

<file path=word/theme/theme1.xml><?xml version="1.0" encoding="utf-8"?>
<a:theme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XO Thames"/>
        <a:ea typeface=""/>
        <a:cs typeface=""/>
      </a:majorFont>
      <a:minorFont>
        <a:latin typeface="XO Thames"/>
        <a:ea typeface=""/>
        <a:cs typeface=""/>
      </a:minorFont>
    </a:fontScheme>
    <a:fmtScheme name="Office">
      <a:fillStyleLst>
        <a:solidFill>
          <a:schemeClr val="phClr"/>
        </a:solidFill>
        <a:gradFill>
          <a:gsLst>
            <a:gs pos="0">
              <a:schemeClr val="phClr">
                <a:tint val="50000"/>
                <a:satMod val="300000"/>
              </a:schemeClr>
            </a:gs>
            <a:gs pos="35000">
              <a:schemeClr val="phClr">
                <a:tint val="63000"/>
                <a:satMod val="300000"/>
              </a:schemeClr>
            </a:gs>
            <a:gs pos="100000">
              <a:schemeClr val="phClr">
                <a:tint val="85000"/>
                <a:satMod val="350000"/>
              </a:schemeClr>
            </a:gs>
          </a:gsLst>
        </a:gradFill>
        <a:gradFill>
          <a:gsLst>
            <a:gs pos="0">
              <a:schemeClr val="phClr">
                <a:shade val="51000"/>
                <a:satMod val="130000"/>
              </a:schemeClr>
            </a:gs>
            <a:gs pos="80000">
              <a:schemeClr val="phClr">
                <a:shade val="93000"/>
                <a:satMod val="130000"/>
              </a:schemeClr>
            </a:gs>
            <a:gs pos="100000">
              <a:schemeClr val="phClr">
                <a:shade val="94000"/>
                <a:satMod val="135000"/>
              </a:schemeClr>
            </a:gs>
          </a:gsLst>
        </a:gradFill>
      </a:fillStyleLst>
      <a:lnStyleLst>
        <a:ln w="6350">
          <a:solidFill>
            <a:schemeClr val="phClr">
              <a:shade val="95000"/>
              <a:satMod val="105000"/>
            </a:schemeClr>
          </a:solidFill>
          <a:prstDash val="solid"/>
        </a:ln>
        <a:ln w="12700">
          <a:solidFill>
            <a:schemeClr val="phClr"/>
          </a:solidFill>
          <a:prstDash val="solid"/>
        </a:ln>
        <a:ln w="19050">
          <a:solidFill>
            <a:schemeClr val="phClr"/>
          </a:solidFill>
          <a:prstDash val="solid"/>
        </a:ln>
      </a:lnStyleLst>
      <a:effectStyleLst>
        <a:effectStyle>
          <a:effectLst>
            <a:outerShdw>
              <a:srgbClr val="000000">
                <a:alpha val="38000"/>
              </a:srgbClr>
            </a:outerShdw>
          </a:effectLst>
        </a:effectStyle>
        <a:effectStyle>
          <a:effectLst>
            <a:outerShdw>
              <a:srgbClr val="000000">
                <a:alpha val="35000"/>
              </a:srgbClr>
            </a:outerShdw>
          </a:effectLst>
        </a:effectStyle>
        <a:effectStyle>
          <a:effectLst>
            <a:outerShdw>
              <a:srgbClr val="000000">
                <a:alpha val="35000"/>
              </a:srgbClr>
            </a:outerShdw>
          </a:effectLst>
        </a:effectStyle>
      </a:effectStyleLst>
      <a:bgFillStyleLst>
        <a:solidFill>
          <a:schemeClr val="phClr"/>
        </a:solidFill>
        <a:gradFill>
          <a:gsLst>
            <a:gs pos="0">
              <a:schemeClr val="phClr">
                <a:tint val="60000"/>
                <a:satMod val="350000"/>
              </a:schemeClr>
            </a:gs>
            <a:gs pos="40000">
              <a:schemeClr val="phClr">
                <a:tint val="55000"/>
                <a:shade val="99000"/>
                <a:satMod val="350000"/>
              </a:schemeClr>
            </a:gs>
            <a:gs pos="100000">
              <a:schemeClr val="phClr">
                <a:shade val="20000"/>
                <a:satMod val="255000"/>
              </a:schemeClr>
            </a:gs>
          </a:gsLst>
        </a:gradFill>
        <a:gradFill>
          <a:gsLst>
            <a:gs pos="0">
              <a:schemeClr val="phClr">
                <a:tint val="20000"/>
                <a:satMod val="300000"/>
              </a:schemeClr>
            </a:gs>
            <a:gs pos="100000">
              <a:schemeClr val="phClr">
                <a:shade val="30000"/>
                <a:satMod val="200000"/>
              </a:schemeClr>
            </a:gs>
          </a:gsLst>
        </a:gradFill>
      </a:bgFillStyleLst>
    </a:fmtScheme>
  </a:themeElements>
</a:theme>
</file>

<file path=docProps/app.xml><?xml version="1.0" encoding="utf-8"?>
<Properties xmlns="http://schemas.openxmlformats.org/officeDocument/2006/extended-properties">
  <Template>Normal.dotm</Template>
  <TotalTime>0</TotalTime>
  <DocSecurity>0</DocSecurity>
  <ScaleCrop>false</ScaleCrop>
  <Application>MyOffice-CoreFramework-Windows/36</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2025-11-03T11:18:57Z</dcterms:created>
  <dcterms:modified xsi:type="dcterms:W3CDTF">2025-11-03T11:18:57Z</dcterms:modified>
</cp:coreProperties>
</file>