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Дугаева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решать задачу о ведении боевых действий с помощью математического моделирования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29</w:t>
      </w:r>
      <w:r>
        <w:t xml:space="preserve"> </w:t>
      </w: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202 000 человек,</w:t>
      </w:r>
      <w:r>
        <w:t xml:space="preserve"> </w:t>
      </w:r>
      <w:r>
        <w:t xml:space="preserve">а в распоряжении страны У армия численностью в 92 000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</w:t>
      </w:r>
      <w:r>
        <w:t xml:space="preserve"> </w:t>
      </w:r>
      <w:r>
        <w:t xml:space="preserve">P(t)и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76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Зададим начальные значения численности войск: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92000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202000</m:t>
        </m:r>
      </m:oMath>
    </w:p>
    <w:p>
      <w:pPr>
        <w:numPr>
          <w:ilvl w:val="0"/>
          <w:numId w:val="1002"/>
        </w:numPr>
      </w:pPr>
      <w:r>
        <w:t xml:space="preserve">Модель боевых действий между регулярными войсками.</w:t>
      </w:r>
      <w:r>
        <w:t xml:space="preserve"> </w:t>
      </w:r>
      <w:r>
        <w:t xml:space="preserve">Зададим коэффициент смертности, не связанный с боевыми действиями у первой</w:t>
      </w:r>
      <w:r>
        <w:t xml:space="preserve"> </w:t>
      </w:r>
      <w:r>
        <w:t xml:space="preserve">армии a=0,13, у второй c=0,15. Коэффициенты эффективности первой и второй армии b=0,51</w:t>
      </w:r>
      <w:r>
        <w:t xml:space="preserve"> </w:t>
      </w:r>
      <w:r>
        <w:t xml:space="preserve">и h=0,41 соответственно. Функция, описывающая подход подкрепление первой армии,</w:t>
      </w:r>
      <w:r>
        <w:t xml:space="preserve"> </w:t>
      </w:r>
      <w:r>
        <w:t xml:space="preserve">P(t)= 0,5sin(t+13)</w:t>
      </w:r>
      <w:r>
        <w:t xml:space="preserve"> </w:t>
      </w:r>
      <w:r>
        <w:t xml:space="preserve">, подкрепление второй армии описывается функцией</w:t>
      </w:r>
      <w:r>
        <w:t xml:space="preserve"> </w:t>
      </w:r>
      <w:r>
        <w:t xml:space="preserve">Q(t)= 0,5cos(t+2).</w:t>
      </w:r>
    </w:p>
    <w:p>
      <w:pPr>
        <w:numPr>
          <w:ilvl w:val="0"/>
          <w:numId w:val="1002"/>
        </w:numPr>
      </w:pPr>
      <w:r>
        <w:t xml:space="preserve">Таким образом решение первой задачи сводится к решению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t xml:space="preserve">Модель боевых действий с участием регулярных войск и партизанских отрядов.</w:t>
      </w:r>
      <w:r>
        <w:t xml:space="preserve"> </w:t>
      </w:r>
      <w:r>
        <w:t xml:space="preserve">Зададим коэффициент смертности, не связанный с боевыми действиями у первой</w:t>
      </w:r>
      <w:r>
        <w:t xml:space="preserve"> </w:t>
      </w:r>
      <w:r>
        <w:t xml:space="preserve">армии a=0,08, у второй c=0,07. Коэффициенты эффективности первой и второй армии b=0,76</w:t>
      </w:r>
      <w:r>
        <w:t xml:space="preserve"> </w:t>
      </w:r>
      <w:r>
        <w:t xml:space="preserve">и h=0,64 соответственно. Функция, описывающая подход подкрепление первой армии,</w:t>
      </w:r>
      <w:r>
        <w:t xml:space="preserve"> </w:t>
      </w:r>
      <w:r>
        <w:t xml:space="preserve">P(t)= sin(2t)+1</w:t>
      </w:r>
      <w:r>
        <w:t xml:space="preserve"> </w:t>
      </w:r>
      <w:r>
        <w:t xml:space="preserve">, подкрепление второй армии описывается функцией</w:t>
      </w:r>
      <w:r>
        <w:t xml:space="preserve"> </w:t>
      </w:r>
      <w:r>
        <w:t xml:space="preserve">Q(t)= cos(3t)+1.</w:t>
      </w:r>
    </w:p>
    <w:p>
      <w:pPr>
        <w:numPr>
          <w:ilvl w:val="0"/>
          <w:numId w:val="1002"/>
        </w:numPr>
      </w:pPr>
      <w:r>
        <w:t xml:space="preserve">Таким образом решение первой задачи сводится к решению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76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22"/>
    <w:bookmarkStart w:id="33" w:name="построение-модели-боевых-действий"/>
    <w:p>
      <w:pPr>
        <w:pStyle w:val="Heading2"/>
      </w:pPr>
      <w:r>
        <w:t xml:space="preserve">Построение модели боевых действий</w:t>
      </w:r>
    </w:p>
    <w:p>
      <w:pPr>
        <w:pStyle w:val="FirstParagraph"/>
      </w:pPr>
      <w:r>
        <w:t xml:space="preserve">На скриншотах приведен код на Python 3 (рис.</w:t>
      </w:r>
      <w:r>
        <w:t xml:space="preserve"> </w:t>
      </w:r>
      <w:r>
        <w:t xml:space="preserve">@fig:001</w:t>
      </w:r>
      <w:r>
        <w:t xml:space="preserve">,</w:t>
      </w:r>
      <w:r>
        <w:t xml:space="preserve"> </w:t>
      </w:r>
      <w:r>
        <w:t xml:space="preserve">@fig:002</w:t>
      </w:r>
      <w:r>
        <w:t xml:space="preserve">,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034012" cy="7940842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794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код</w:t>
      </w:r>
    </w:p>
    <w:p>
      <w:pPr>
        <w:pStyle w:val="CaptionedFigure"/>
      </w:pPr>
      <w:bookmarkStart w:id="26" w:name="fig:002"/>
      <w:r>
        <w:drawing>
          <wp:inline>
            <wp:extent cx="5236143" cy="3917482"/>
            <wp:effectExtent b="0" l="0" r="0" t="0"/>
            <wp:docPr descr="код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код2</w:t>
      </w:r>
    </w:p>
    <w:p>
      <w:pPr>
        <w:pStyle w:val="CaptionedFigure"/>
      </w:pPr>
      <w:bookmarkStart w:id="28" w:name="fig:003"/>
      <w:r>
        <w:drawing>
          <wp:inline>
            <wp:extent cx="5334000" cy="1421908"/>
            <wp:effectExtent b="0" l="0" r="0" t="0"/>
            <wp:docPr descr="код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код3</w:t>
      </w:r>
    </w:p>
    <w:p>
      <w:pPr>
        <w:pStyle w:val="BodyText"/>
      </w:pPr>
      <w:r>
        <w:t xml:space="preserve">Результат для обоих случаев: (рис.</w:t>
      </w:r>
      <w:r>
        <w:t xml:space="preserve"> </w:t>
      </w:r>
      <w:r>
        <w:t xml:space="preserve">@fig:004</w:t>
      </w:r>
      <w:r>
        <w:t xml:space="preserve">,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3384855"/>
            <wp:effectExtent b="0" l="0" r="0" t="0"/>
            <wp:docPr descr="результат1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результат1</w:t>
      </w:r>
    </w:p>
    <w:p>
      <w:pPr>
        <w:pStyle w:val="CaptionedFigure"/>
      </w:pPr>
      <w:bookmarkStart w:id="32" w:name="fig:005"/>
      <w:r>
        <w:drawing>
          <wp:inline>
            <wp:extent cx="5334000" cy="3318299"/>
            <wp:effectExtent b="0" l="0" r="0" t="0"/>
            <wp:docPr descr="результат2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результат2</w:t>
      </w:r>
    </w:p>
    <w:p>
      <w:pPr>
        <w:pStyle w:val="BodyText"/>
      </w:pPr>
      <w:r>
        <w:t xml:space="preserve">Таким образом, в обоих случаях война заканчивается истереблением армии Y, но в случае участия партизанских отрядов это произойдет быстрее.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Записала уравнение, описывающее модель боевых действий, с начальными условиями для двух случаев (регулярных войск и для регулярных войск и партизанских отрядов)</w:t>
      </w:r>
    </w:p>
    <w:p>
      <w:pPr>
        <w:numPr>
          <w:ilvl w:val="0"/>
          <w:numId w:val="1003"/>
        </w:numPr>
        <w:pStyle w:val="Compact"/>
      </w:pPr>
      <w:r>
        <w:t xml:space="preserve">Построила график численности армий для двух случаев</w:t>
      </w:r>
    </w:p>
    <w:p>
      <w:pPr>
        <w:numPr>
          <w:ilvl w:val="0"/>
          <w:numId w:val="1003"/>
        </w:numPr>
        <w:pStyle w:val="Compact"/>
      </w:pPr>
      <w:r>
        <w:t xml:space="preserve">Научилась решать задачу о ведении боевых действий с помощью математического моделирования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Дугаева Светлана Анатольевна</dc:creator>
  <dc:language>ru-RU</dc:language>
  <cp:keywords/>
  <dcterms:created xsi:type="dcterms:W3CDTF">2021-02-27T19:12:14Z</dcterms:created>
  <dcterms:modified xsi:type="dcterms:W3CDTF">2021-02-27T19:12:14Z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Модель боевых действий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