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эффективности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Дугаева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Анатольевна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модели распостранения рекламы и ее эффективности.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29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  <w:r>
        <w:t xml:space="preserve"> </w:t>
      </w:r>
      <w:r>
        <w:t xml:space="preserve">1) dn/dt=(0.93+0.00003n(t))(N-n(t))</w:t>
      </w:r>
      <w:r>
        <w:t xml:space="preserve"> </w:t>
      </w:r>
      <w:r>
        <w:t xml:space="preserve">2) dn/dt=(0.00003+0.62n(t))(N-n(t))</w:t>
      </w:r>
      <w:r>
        <w:t xml:space="preserve"> </w:t>
      </w:r>
      <w:r>
        <w:t xml:space="preserve">3) dn/dt=(0.88cos(t)+0.77cos(2t)n(t))(N-n(t))</w:t>
      </w:r>
    </w:p>
    <w:p>
      <w:pPr>
        <w:pStyle w:val="BodyText"/>
      </w:pPr>
      <w:r>
        <w:t xml:space="preserve">При этом объем аудитории N =1120, в начальный момент о товаре знает 19 человек. Для</w:t>
      </w:r>
      <w:r>
        <w:t xml:space="preserve"> </w:t>
      </w:r>
      <w:r>
        <w:t xml:space="preserve">случая 2 определите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21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теоретическая-справка"/>
    <w:p>
      <w:pPr>
        <w:pStyle w:val="Heading2"/>
      </w:pPr>
      <w:r>
        <w:t xml:space="preserve">Теоретическая справка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  <w:r>
        <w:t xml:space="preserve"> </w:t>
      </w: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 t из числа потенциальных покупателей</w:t>
      </w:r>
      <w:r>
        <w:t xml:space="preserve"> </w:t>
      </w:r>
      <w:r>
        <w:t xml:space="preserve">N знает лишь n покупателей. Для ускорения сбыта продукции запускается реклама</w:t>
      </w:r>
      <w:r>
        <w:t xml:space="preserve"> </w:t>
      </w:r>
      <w:r>
        <w:t xml:space="preserve">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</w:t>
      </w:r>
      <w:r>
        <w:t xml:space="preserve"> </w:t>
      </w: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 dn/dt -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</w:t>
      </w:r>
      <w:r>
        <w:t xml:space="preserve"> </w:t>
      </w:r>
      <w:r>
        <w:t xml:space="preserve">t - время, прошедшее с начала рекламной</w:t>
      </w:r>
      <w:r>
        <w:t xml:space="preserve"> </w:t>
      </w:r>
      <w:r>
        <w:t xml:space="preserve">кампании, n(t) 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w:r>
        <w:t xml:space="preserve">a1(t)(N-n(t)), где</w:t>
      </w:r>
      <w:r>
        <w:t xml:space="preserve"> </w:t>
      </w:r>
      <w:r>
        <w:t xml:space="preserve">N - общее число потенциальных</w:t>
      </w:r>
      <w:r>
        <w:t xml:space="preserve"> </w:t>
      </w:r>
      <w:r>
        <w:t xml:space="preserve">платежеспособных покупателей,</w:t>
      </w:r>
      <w:r>
        <w:t xml:space="preserve"> </w:t>
      </w:r>
      <w:r>
        <w:t xml:space="preserve">a1(t)&gt;0 -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w:r>
        <w:t xml:space="preserve">a2(t)n(t)(N-n(t)) 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  <w:r>
        <w:t xml:space="preserve"> </w:t>
      </w:r>
      <w:r>
        <w:t xml:space="preserve">dn/dt=(a1(t)+a2(t)n(t))(N-n(t))</w:t>
      </w:r>
      <w:r>
        <w:t xml:space="preserve"> </w:t>
      </w:r>
      <w:r>
        <w:t xml:space="preserve">При a1(t)&gt;&gt;a2(t) получается модель типа Мальтуса,решение которой принимает вид (рис. 1):</w:t>
      </w:r>
    </w:p>
    <w:p>
      <w:pPr>
        <w:pStyle w:val="CaptionedFigure"/>
      </w:pPr>
      <w:bookmarkStart w:id="23" w:name="fig:001"/>
      <w:r>
        <w:drawing>
          <wp:inline>
            <wp:extent cx="4398745" cy="3426593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342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случае, при a1(t)&lt;&lt;a2(t) получаем уравнение логистической кривой (рис. 2):</w:t>
      </w:r>
    </w:p>
    <w:p>
      <w:pPr>
        <w:pStyle w:val="CaptionedFigure"/>
      </w:pPr>
      <w:bookmarkStart w:id="25" w:name="fig:002"/>
      <w:r>
        <w:drawing>
          <wp:inline>
            <wp:extent cx="5334000" cy="2356007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6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решение-задачи"/>
    <w:p>
      <w:pPr>
        <w:pStyle w:val="Heading2"/>
      </w:pPr>
      <w:r>
        <w:t xml:space="preserve">Решение задачи:</w:t>
      </w:r>
    </w:p>
    <w:p>
      <w:pPr>
        <w:pStyle w:val="FirstParagraph"/>
      </w:pPr>
      <w:r>
        <w:t xml:space="preserve">Начальные условия в данной задаче:</w:t>
      </w:r>
    </w:p>
    <w:p>
      <w:pPr>
        <w:pStyle w:val="BodyText"/>
      </w:pPr>
      <w:r>
        <w:t xml:space="preserve">N = 1120 – все проживающие на острове;</w:t>
      </w:r>
      <w:r>
        <w:t xml:space="preserve"> </w:t>
      </w:r>
      <w:r>
        <w:t xml:space="preserve">x0 = 19</w:t>
      </w:r>
      <w:r>
        <w:t xml:space="preserve"> </w:t>
      </w:r>
      <w:r>
        <w:t xml:space="preserve">t0 = 0</w:t>
      </w:r>
    </w:p>
    <w:p>
      <w:pPr>
        <w:numPr>
          <w:ilvl w:val="0"/>
          <w:numId w:val="1001"/>
        </w:numPr>
        <w:pStyle w:val="Compact"/>
      </w:pPr>
      <w:r>
        <w:t xml:space="preserve">В первом случае a1(t)&gt;&gt;a2(t) - модель типа Модели Мальтуса:</w:t>
      </w:r>
      <w:r>
        <w:t xml:space="preserve"> </w:t>
      </w:r>
      <w:r>
        <w:t xml:space="preserve">Для данного уравнения:</w:t>
      </w:r>
      <w:r>
        <w:t xml:space="preserve"> </w:t>
      </w:r>
      <w:r>
        <w:t xml:space="preserve">dn/dt=(0.93+0.00003n(t))(N-n(t))</w:t>
      </w:r>
      <w:r>
        <w:t xml:space="preserve"> </w:t>
      </w:r>
      <w:r>
        <w:t xml:space="preserve">решение имеет вид (рис. 3):</w:t>
      </w:r>
    </w:p>
    <w:p>
      <w:pPr>
        <w:pStyle w:val="CaptionedFigure"/>
      </w:pPr>
      <w:bookmarkStart w:id="28" w:name="fig:003"/>
      <w:r>
        <w:drawing>
          <wp:inline>
            <wp:extent cx="3898231" cy="2521818"/>
            <wp:effectExtent b="0" l="0" r="0" t="0"/>
            <wp:docPr descr="Figure 3: График для 1 случая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252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1 случая</w:t>
      </w:r>
    </w:p>
    <w:p>
      <w:pPr>
        <w:numPr>
          <w:ilvl w:val="0"/>
          <w:numId w:val="1002"/>
        </w:numPr>
        <w:pStyle w:val="Compact"/>
      </w:pPr>
      <w:r>
        <w:t xml:space="preserve">Во втором случае случае a1(t)&lt;&lt;a2(t) - уравнение логической прямой:</w:t>
      </w:r>
      <w:r>
        <w:t xml:space="preserve"> </w:t>
      </w:r>
      <w:r>
        <w:t xml:space="preserve">Для данного уравнения:</w:t>
      </w:r>
      <w:r>
        <w:t xml:space="preserve"> </w:t>
      </w:r>
      <w:r>
        <w:t xml:space="preserve">dn/dt=(0.00003+0.62n(t))(N-n(t))</w:t>
      </w:r>
      <w:r>
        <w:t xml:space="preserve"> </w:t>
      </w:r>
      <w:r>
        <w:t xml:space="preserve">решение имеет вид (рис. 4):</w:t>
      </w:r>
    </w:p>
    <w:p>
      <w:pPr>
        <w:pStyle w:val="CaptionedFigure"/>
      </w:pPr>
      <w:bookmarkStart w:id="30" w:name="fig:004"/>
      <w:r>
        <w:drawing>
          <wp:inline>
            <wp:extent cx="3927107" cy="2492943"/>
            <wp:effectExtent b="0" l="0" r="0" t="0"/>
            <wp:docPr descr="Figure 4: График для 2 случая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2 случая</w:t>
      </w:r>
    </w:p>
    <w:p>
      <w:pPr>
        <w:pStyle w:val="BodyText"/>
      </w:pPr>
      <w:r>
        <w:t xml:space="preserve">Максимальная скорость распостранения рекламы будет в момент времени t=0.0059</w:t>
      </w:r>
    </w:p>
    <w:p>
      <w:pPr>
        <w:numPr>
          <w:ilvl w:val="0"/>
          <w:numId w:val="1003"/>
        </w:numPr>
        <w:pStyle w:val="Compact"/>
      </w:pPr>
      <w:r>
        <w:t xml:space="preserve">Для данного уравнения:</w:t>
      </w:r>
      <w:r>
        <w:t xml:space="preserve"> </w:t>
      </w:r>
      <w:r>
        <w:t xml:space="preserve">dn/dt=(0.88cos(t)+0.77cos(2t)n(t))(N-n(t))</w:t>
      </w:r>
      <w:r>
        <w:t xml:space="preserve"> </w:t>
      </w:r>
      <w:r>
        <w:t xml:space="preserve">решение имеет вид (рис. 5):</w:t>
      </w:r>
    </w:p>
    <w:p>
      <w:pPr>
        <w:pStyle w:val="CaptionedFigure"/>
      </w:pPr>
      <w:bookmarkStart w:id="32" w:name="fig:005"/>
      <w:r>
        <w:drawing>
          <wp:inline>
            <wp:extent cx="3927107" cy="2646947"/>
            <wp:effectExtent b="0" l="0" r="0" t="0"/>
            <wp:docPr descr="Figure 5: График для 3 случая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26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3 случая</w:t>
      </w:r>
    </w:p>
    <w:bookmarkEnd w:id="33"/>
    <w:bookmarkStart w:id="40" w:name="построение-модели-задачи-об-эпидемии"/>
    <w:p>
      <w:pPr>
        <w:pStyle w:val="Heading2"/>
      </w:pPr>
      <w:r>
        <w:t xml:space="preserve">Построение модели задачи об эпидемии</w:t>
      </w:r>
    </w:p>
    <w:p>
      <w:pPr>
        <w:pStyle w:val="FirstParagraph"/>
      </w:pPr>
      <w:r>
        <w:t xml:space="preserve">Код в jupyter notebook для первого случая (рис. 6):</w:t>
      </w:r>
    </w:p>
    <w:p>
      <w:pPr>
        <w:pStyle w:val="CaptionedFigure"/>
      </w:pPr>
      <w:bookmarkStart w:id="35" w:name="fig:006"/>
      <w:r>
        <w:drawing>
          <wp:inline>
            <wp:extent cx="3320715" cy="4880008"/>
            <wp:effectExtent b="0" l="0" r="0" t="0"/>
            <wp:docPr descr="Figure 6: код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488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код для первого случая</w:t>
      </w:r>
    </w:p>
    <w:p>
      <w:pPr>
        <w:pStyle w:val="BodyText"/>
      </w:pPr>
      <w:r>
        <w:t xml:space="preserve">Код в jupyter notebook для второго случая (рис. 7):</w:t>
      </w:r>
    </w:p>
    <w:p>
      <w:pPr>
        <w:pStyle w:val="CaptionedFigure"/>
      </w:pPr>
      <w:bookmarkStart w:id="37" w:name="fig:007"/>
      <w:r>
        <w:drawing>
          <wp:inline>
            <wp:extent cx="3696101" cy="4119612"/>
            <wp:effectExtent b="0" l="0" r="0" t="0"/>
            <wp:docPr descr="Figure 7: код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411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код для второго случая</w:t>
      </w:r>
    </w:p>
    <w:p>
      <w:pPr>
        <w:pStyle w:val="BodyText"/>
      </w:pPr>
      <w:r>
        <w:t xml:space="preserve">Код в jupyter notebook для третьего случая (рис. 8):</w:t>
      </w:r>
    </w:p>
    <w:p>
      <w:pPr>
        <w:pStyle w:val="CaptionedFigure"/>
      </w:pPr>
      <w:bookmarkStart w:id="39" w:name="fig:008"/>
      <w:r>
        <w:drawing>
          <wp:inline>
            <wp:extent cx="3272589" cy="3262964"/>
            <wp:effectExtent b="0" l="0" r="0" t="0"/>
            <wp:docPr descr="Figure 8: код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89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8: код для третьего случая</w:t>
      </w:r>
    </w:p>
    <w:bookmarkEnd w:id="40"/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была изучена модель рекламной кампании, а также</w:t>
      </w:r>
      <w:r>
        <w:t xml:space="preserve"> </w:t>
      </w:r>
      <w:r>
        <w:t xml:space="preserve">рассмотрены несколько случаев и построены графики для каждого из них.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Дугаева Светлана Анатольевна</dc:creator>
  <dc:language>ru</dc:language>
  <cp:keywords/>
  <dcterms:created xsi:type="dcterms:W3CDTF">2021-03-27T19:01:20Z</dcterms:created>
  <dcterms:modified xsi:type="dcterms:W3CDTF">2021-03-27T19:01:20Z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Fira Code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xelatex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romanfont">
    <vt:lpwstr>PT Serif</vt:lpwstr>
  </property>
  <property fmtid="{D5CDD505-2E9C-101B-9397-08002B2CF9AE}" pid="51" name="romanfontoptions">
    <vt:lpwstr>Ligatures=TeX</vt:lpwstr>
  </property>
  <property fmtid="{D5CDD505-2E9C-101B-9397-08002B2CF9AE}" pid="52" name="sansfont">
    <vt:lpwstr>PT Sans</vt:lpwstr>
  </property>
  <property fmtid="{D5CDD505-2E9C-101B-9397-08002B2CF9AE}" pid="53" name="sansfontoptions">
    <vt:lpwstr>Ligatures=TeX,Scale=MatchLowercase</vt:lpwstr>
  </property>
  <property fmtid="{D5CDD505-2E9C-101B-9397-08002B2CF9AE}" pid="54" name="secHeaderDelim">
    <vt:lpwstr> </vt:lpwstr>
  </property>
  <property fmtid="{D5CDD505-2E9C-101B-9397-08002B2CF9AE}" pid="55" name="secHeaderTemplate">
    <vt:lpwstr>isecHeaderDelim[n]t</vt:lpwstr>
  </property>
  <property fmtid="{D5CDD505-2E9C-101B-9397-08002B2CF9AE}" pid="56" name="secLabels">
    <vt:lpwstr>arabic</vt:lpwstr>
  </property>
  <property fmtid="{D5CDD505-2E9C-101B-9397-08002B2CF9AE}" pid="57" name="secPrefix">
    <vt:lpwstr/>
  </property>
  <property fmtid="{D5CDD505-2E9C-101B-9397-08002B2CF9AE}" pid="58" name="secPrefixTemplate">
    <vt:lpwstr>p i</vt:lpwstr>
  </property>
  <property fmtid="{D5CDD505-2E9C-101B-9397-08002B2CF9AE}" pid="59" name="sectionsDepth">
    <vt:lpwstr>0</vt:lpwstr>
  </property>
  <property fmtid="{D5CDD505-2E9C-101B-9397-08002B2CF9AE}" pid="60" name="subfigGrid">
    <vt:lpwstr>False</vt:lpwstr>
  </property>
  <property fmtid="{D5CDD505-2E9C-101B-9397-08002B2CF9AE}" pid="61" name="subfigLabels">
    <vt:lpwstr>alpha a</vt:lpwstr>
  </property>
  <property fmtid="{D5CDD505-2E9C-101B-9397-08002B2CF9AE}" pid="62" name="subfigureChildTemplate">
    <vt:lpwstr>i</vt:lpwstr>
  </property>
  <property fmtid="{D5CDD505-2E9C-101B-9397-08002B2CF9AE}" pid="63" name="subfigureRefIndexTemplate">
    <vt:lpwstr>isuf (s)</vt:lpwstr>
  </property>
  <property fmtid="{D5CDD505-2E9C-101B-9397-08002B2CF9AE}" pid="64" name="subfigureTemplate">
    <vt:lpwstr>figureTitle ititleDelim t. ccs</vt:lpwstr>
  </property>
  <property fmtid="{D5CDD505-2E9C-101B-9397-08002B2CF9AE}" pid="65" name="subtitle">
    <vt:lpwstr>Модель эффективности рекламы</vt:lpwstr>
  </property>
  <property fmtid="{D5CDD505-2E9C-101B-9397-08002B2CF9AE}" pid="66" name="tableEqns">
    <vt:lpwstr>False</vt:lpwstr>
  </property>
  <property fmtid="{D5CDD505-2E9C-101B-9397-08002B2CF9AE}" pid="67" name="tableTemplate">
    <vt:lpwstr>tableTitle ititleDelim t</vt:lpwstr>
  </property>
  <property fmtid="{D5CDD505-2E9C-101B-9397-08002B2CF9AE}" pid="68" name="tableTitle">
    <vt:lpwstr>Table</vt:lpwstr>
  </property>
  <property fmtid="{D5CDD505-2E9C-101B-9397-08002B2CF9AE}" pid="69" name="tblLabels">
    <vt:lpwstr>arabic</vt:lpwstr>
  </property>
  <property fmtid="{D5CDD505-2E9C-101B-9397-08002B2CF9AE}" pid="70" name="tblPrefix">
    <vt:lpwstr/>
  </property>
  <property fmtid="{D5CDD505-2E9C-101B-9397-08002B2CF9AE}" pid="71" name="tblPrefixTemplate">
    <vt:lpwstr>p i</vt:lpwstr>
  </property>
  <property fmtid="{D5CDD505-2E9C-101B-9397-08002B2CF9AE}" pid="72" name="titleDelim">
    <vt:lpwstr>:</vt:lpwstr>
  </property>
  <property fmtid="{D5CDD505-2E9C-101B-9397-08002B2CF9AE}" pid="73" name="toc">
    <vt:lpwstr>True</vt:lpwstr>
  </property>
  <property fmtid="{D5CDD505-2E9C-101B-9397-08002B2CF9AE}" pid="74" name="toc-title">
    <vt:lpwstr>Содержание</vt:lpwstr>
  </property>
  <property fmtid="{D5CDD505-2E9C-101B-9397-08002B2CF9AE}" pid="75" name="toc_depth">
    <vt:lpwstr>2</vt:lpwstr>
  </property>
</Properties>
</file>