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1D0B81B3" w14:textId="66D8B894" w:rsidR="0011373A" w:rsidRPr="00854B2A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p w14:paraId="5D7B7290" w14:textId="77777777" w:rsidR="0011373A" w:rsidRPr="00101823" w:rsidRDefault="0011373A" w:rsidP="0011373A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5CD11819" w14:textId="4CDD8A1E" w:rsidR="00C0125C" w:rsidRPr="007034E1" w:rsidRDefault="00C0125C" w:rsidP="00C0125C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E29D554" w14:textId="6B497E47" w:rsidR="00DA3E79" w:rsidRPr="000F5304" w:rsidRDefault="00C0125C" w:rsidP="000F5304">
      <w:pPr>
        <w:pStyle w:val="ListParagraph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lastRenderedPageBreak/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proofErr w:type="spellEnd"/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 xml:space="preserve">RF1.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 xml:space="preserve">RF2.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0D1B32">
        <w:rPr>
          <w:rFonts w:ascii="Calibri" w:hAnsi="Calibri" w:cs="Calibri"/>
          <w:color w:val="000000" w:themeColor="text1"/>
        </w:rPr>
        <w:t>hold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 xml:space="preserve">RF3.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164B00D4" w14:textId="3831BA5C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6BBD4B2D" w14:textId="76E7B175" w:rsidR="001B7670" w:rsidRPr="001B7670" w:rsidRDefault="001B7670" w:rsidP="00C4411B">
      <w:pPr>
        <w:rPr>
          <w:rFonts w:ascii="Calibri" w:hAnsi="Calibri" w:cs="Calibri"/>
          <w:color w:val="153D63" w:themeColor="text2" w:themeTint="E6"/>
          <w:sz w:val="32"/>
          <w:szCs w:val="32"/>
        </w:rPr>
      </w:pPr>
      <w:r w:rsidRPr="001B7670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Modello dei dati da rappresentare</w:t>
      </w:r>
      <w:r>
        <w:rPr>
          <w:rFonts w:ascii="Calibri" w:hAnsi="Calibri" w:cs="Calibri"/>
          <w:color w:val="153D63" w:themeColor="text2" w:themeTint="E6"/>
          <w:sz w:val="32"/>
          <w:szCs w:val="32"/>
        </w:rPr>
        <w:t>:</w:t>
      </w:r>
    </w:p>
    <w:p w14:paraId="2D375AD9" w14:textId="77777777" w:rsidR="00D71917" w:rsidRDefault="00D71917" w:rsidP="00367D3F">
      <w:pPr>
        <w:rPr>
          <w:rFonts w:ascii="Calibri" w:hAnsi="Calibri" w:cs="Calibri"/>
          <w:color w:val="000000" w:themeColor="text1"/>
        </w:rPr>
      </w:pPr>
      <w:r w:rsidRPr="00D71917">
        <w:rPr>
          <w:rFonts w:ascii="Calibri" w:hAnsi="Calibri" w:cs="Calibri"/>
          <w:color w:val="000000" w:themeColor="text1"/>
        </w:rPr>
        <w:t xml:space="preserve">Per poter mostrare correttamente lo stato della stiva, è necessario associare all’interfaccia un modello dedicato, </w:t>
      </w:r>
      <w:proofErr w:type="spellStart"/>
      <w:r w:rsidRPr="00D71917">
        <w:rPr>
          <w:rFonts w:ascii="Calibri" w:hAnsi="Calibri" w:cs="Calibri"/>
          <w:b/>
          <w:bCs/>
          <w:color w:val="153D63" w:themeColor="text2" w:themeTint="E6"/>
        </w:rPr>
        <w:t>hold</w:t>
      </w:r>
      <w:proofErr w:type="spellEnd"/>
      <w:r w:rsidRPr="00D71917">
        <w:rPr>
          <w:rFonts w:ascii="Calibri" w:hAnsi="Calibri" w:cs="Calibri"/>
          <w:color w:val="000000" w:themeColor="text1"/>
        </w:rPr>
        <w:t>, il cui scopo è quello di mantenere consistenti le informazioni che la riguardano.</w:t>
      </w:r>
    </w:p>
    <w:p w14:paraId="1184DC49" w14:textId="2715A2DB" w:rsidR="00061C5A" w:rsidRPr="000A2FB3" w:rsidRDefault="00D71917" w:rsidP="00367D3F">
      <w:pPr>
        <w:rPr>
          <w:rFonts w:ascii="Calibri" w:hAnsi="Calibri" w:cs="Calibri"/>
          <w:color w:val="000000" w:themeColor="text1"/>
        </w:rPr>
      </w:pPr>
      <w:r w:rsidRPr="000A2FB3">
        <w:rPr>
          <w:rFonts w:ascii="Calibri" w:hAnsi="Calibri" w:cs="Calibri"/>
          <w:color w:val="000000" w:themeColor="text1"/>
        </w:rPr>
        <w:t>Il componente</w:t>
      </w:r>
      <w:r w:rsidR="00061C5A" w:rsidRPr="000A2FB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61C5A" w:rsidRPr="000A2FB3">
        <w:rPr>
          <w:rFonts w:ascii="Calibri" w:hAnsi="Calibri" w:cs="Calibri"/>
          <w:b/>
          <w:bCs/>
          <w:color w:val="153D63" w:themeColor="text2" w:themeTint="E6"/>
        </w:rPr>
        <w:t>hold</w:t>
      </w:r>
      <w:proofErr w:type="spellEnd"/>
      <w:r w:rsidR="00061C5A" w:rsidRPr="000A2FB3">
        <w:rPr>
          <w:rFonts w:ascii="Calibri" w:hAnsi="Calibri" w:cs="Calibri"/>
          <w:color w:val="153D63" w:themeColor="text2" w:themeTint="E6"/>
        </w:rPr>
        <w:t xml:space="preserve"> </w:t>
      </w:r>
      <w:r w:rsidR="00061C5A" w:rsidRPr="000A2FB3">
        <w:rPr>
          <w:rFonts w:ascii="Calibri" w:hAnsi="Calibri" w:cs="Calibri"/>
          <w:color w:val="000000" w:themeColor="text1"/>
        </w:rPr>
        <w:t>terrà traccia:</w:t>
      </w:r>
    </w:p>
    <w:p w14:paraId="521B1F81" w14:textId="640AA5AB" w:rsidR="00061C5A" w:rsidRPr="000A2FB3" w:rsidRDefault="00061C5A" w:rsidP="00061C5A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0A2FB3">
        <w:rPr>
          <w:rFonts w:ascii="Calibri" w:hAnsi="Calibri" w:cs="Calibri"/>
          <w:color w:val="000000" w:themeColor="text1"/>
        </w:rPr>
        <w:t xml:space="preserve"> del peso complessivo degli elementi presenti nella stiva</w:t>
      </w:r>
    </w:p>
    <w:p w14:paraId="054CF98F" w14:textId="365A2395" w:rsidR="005C3F1C" w:rsidRPr="000A2FB3" w:rsidRDefault="00471174" w:rsidP="005C3F1C">
      <w:pPr>
        <w:pStyle w:val="ListParagraph"/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0A2FB3">
        <w:rPr>
          <w:rFonts w:ascii="Calibri" w:hAnsi="Calibri" w:cs="Calibri"/>
          <w:color w:val="000000" w:themeColor="text1"/>
        </w:rPr>
        <w:t>d</w:t>
      </w:r>
      <w:r w:rsidR="00061C5A" w:rsidRPr="000A2FB3">
        <w:rPr>
          <w:rFonts w:ascii="Calibri" w:hAnsi="Calibri" w:cs="Calibri"/>
          <w:color w:val="000000" w:themeColor="text1"/>
        </w:rPr>
        <w:t>el</w:t>
      </w:r>
      <w:r w:rsidR="00625989" w:rsidRPr="000A2FB3">
        <w:rPr>
          <w:rFonts w:ascii="Calibri" w:hAnsi="Calibri" w:cs="Calibri"/>
          <w:color w:val="000000" w:themeColor="text1"/>
        </w:rPr>
        <w:t>lo stato (occupato/libero) di ciascuno slot</w:t>
      </w:r>
    </w:p>
    <w:p w14:paraId="1E865417" w14:textId="77777777" w:rsidR="00612BE6" w:rsidRPr="000A2FB3" w:rsidRDefault="00612BE6" w:rsidP="00612BE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Nello </w:t>
      </w:r>
      <w:r w:rsidRPr="000A2FB3">
        <w:rPr>
          <w:rFonts w:ascii="Calibri" w:eastAsia="Times New Roman" w:hAnsi="Calibri" w:cs="Calibri"/>
          <w:b/>
          <w:bCs/>
          <w:color w:val="153D63" w:themeColor="text2" w:themeTint="E6"/>
          <w:kern w:val="0"/>
          <w:lang w:eastAsia="en-GB"/>
          <w14:ligatures w14:val="none"/>
        </w:rPr>
        <w:t>Sprint 1</w:t>
      </w:r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cargoservice era stato sviluppato in modo da mantenere direttamente queste informazioni. Con l’aggiunta del componente </w:t>
      </w:r>
      <w:proofErr w:type="spellStart"/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>hold</w:t>
      </w:r>
      <w:proofErr w:type="spellEnd"/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si è ritenuto opportuno effettuare un </w:t>
      </w:r>
      <w:proofErr w:type="spellStart"/>
      <w:r w:rsidRPr="000A2FB3">
        <w:rPr>
          <w:rFonts w:ascii="Calibri" w:eastAsia="Times New Roman" w:hAnsi="Calibri" w:cs="Calibri"/>
          <w:b/>
          <w:bCs/>
          <w:color w:val="153D63" w:themeColor="text2" w:themeTint="E6"/>
          <w:kern w:val="0"/>
          <w:lang w:eastAsia="en-GB"/>
          <w14:ligatures w14:val="none"/>
        </w:rPr>
        <w:t>refactoring</w:t>
      </w:r>
      <w:proofErr w:type="spellEnd"/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>, spostando la responsabilità della gestione degli slot su di esso.</w:t>
      </w:r>
    </w:p>
    <w:p w14:paraId="41DB9B5A" w14:textId="0E13FE02" w:rsidR="00612BE6" w:rsidRDefault="00612BE6" w:rsidP="00FF676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In questa nuova architettura, cargoservice si limita a inviare messaggi a </w:t>
      </w:r>
      <w:proofErr w:type="spellStart"/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>hold</w:t>
      </w:r>
      <w:proofErr w:type="spellEnd"/>
      <w:r w:rsidRPr="000A2FB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per richiedere l’aggiornamento dello stato o per ottenere informazioni sugli slot, delegando a quest’ultimo la gestione dei dati.</w:t>
      </w:r>
    </w:p>
    <w:p w14:paraId="31B7EB87" w14:textId="43395A42" w:rsidR="006F08A5" w:rsidRDefault="00ED47D7" w:rsidP="00FF676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Verranno utilizzate le classi java definite già nello sprint1 per la gestione degli slot:</w:t>
      </w:r>
    </w:p>
    <w:p w14:paraId="1A7499E4" w14:textId="789665AD" w:rsidR="00ED47D7" w:rsidRPr="00ED47D7" w:rsidRDefault="00ED47D7" w:rsidP="00ED47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Slot </w:t>
      </w:r>
    </w:p>
    <w:p w14:paraId="012B35D9" w14:textId="4F66AA1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 con modello eseguibile:</w:t>
      </w:r>
    </w:p>
    <w:p w14:paraId="20EBFD65" w14:textId="758BFBA4" w:rsidR="00C4411B" w:rsidRPr="008D78A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Progetto e realizzazione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16053906" w14:textId="775563DA" w:rsidR="00BB756A" w:rsidRDefault="00BB756A"/>
    <w:sectPr w:rsidR="00BB7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2066">
    <w:abstractNumId w:val="2"/>
  </w:num>
  <w:num w:numId="2" w16cid:durableId="281812290">
    <w:abstractNumId w:val="0"/>
  </w:num>
  <w:num w:numId="3" w16cid:durableId="1941140501">
    <w:abstractNumId w:val="3"/>
  </w:num>
  <w:num w:numId="4" w16cid:durableId="1056974043">
    <w:abstractNumId w:val="1"/>
  </w:num>
  <w:num w:numId="5" w16cid:durableId="1789549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841"/>
    <w:rsid w:val="00061C5A"/>
    <w:rsid w:val="000A2FB3"/>
    <w:rsid w:val="000D1B32"/>
    <w:rsid w:val="000F5304"/>
    <w:rsid w:val="0011373A"/>
    <w:rsid w:val="00146BDF"/>
    <w:rsid w:val="00166575"/>
    <w:rsid w:val="001B7670"/>
    <w:rsid w:val="00367D3F"/>
    <w:rsid w:val="00403C04"/>
    <w:rsid w:val="00457F19"/>
    <w:rsid w:val="00471174"/>
    <w:rsid w:val="004D0368"/>
    <w:rsid w:val="005C3F1C"/>
    <w:rsid w:val="00612BE6"/>
    <w:rsid w:val="0062347C"/>
    <w:rsid w:val="00625989"/>
    <w:rsid w:val="006F08A5"/>
    <w:rsid w:val="00706CED"/>
    <w:rsid w:val="007B3906"/>
    <w:rsid w:val="00854B2A"/>
    <w:rsid w:val="00922B25"/>
    <w:rsid w:val="00935B9A"/>
    <w:rsid w:val="00963B9E"/>
    <w:rsid w:val="00A34834"/>
    <w:rsid w:val="00A66FE8"/>
    <w:rsid w:val="00BB756A"/>
    <w:rsid w:val="00C0125C"/>
    <w:rsid w:val="00C4411B"/>
    <w:rsid w:val="00D71917"/>
    <w:rsid w:val="00DA3E79"/>
    <w:rsid w:val="00ED47D7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6A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25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92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25"/>
    <w:rPr>
      <w:i/>
      <w:iCs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2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28</cp:revision>
  <dcterms:created xsi:type="dcterms:W3CDTF">2025-08-20T09:28:00Z</dcterms:created>
  <dcterms:modified xsi:type="dcterms:W3CDTF">2025-08-20T14:37:00Z</dcterms:modified>
</cp:coreProperties>
</file>