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mock object</w:t>
      </w:r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Prodotto conosciuto da ProductService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r w:rsidRPr="00101823">
              <w:rPr>
                <w:rFonts w:ascii="Calibri" w:hAnsi="Calibri" w:cs="Calibri"/>
              </w:rPr>
              <w:t xml:space="preserve">Graphical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r w:rsidRPr="00101823">
              <w:rPr>
                <w:rFonts w:ascii="Calibri" w:hAnsi="Calibri" w:cs="Calibri"/>
              </w:rPr>
              <w:t xml:space="preserve"> Context</w:t>
            </w:r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"bounded context"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Domain-Driven Design (DDD) e si riferisce a un ambito applicativo ben definito e autonomo all'interno del quale vengono definite entità, regole e logiche di business in modo univoco e chiaro. All'interno di un bounded context,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r w:rsidRPr="00101823">
              <w:rPr>
                <w:rFonts w:ascii="Calibri" w:hAnsi="Calibri" w:cs="Calibri"/>
              </w:rPr>
              <w:t>Identifier)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Plain Old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CoAP</w:t>
            </w:r>
          </w:p>
        </w:tc>
        <w:tc>
          <w:tcPr>
            <w:tcW w:w="4508" w:type="dxa"/>
          </w:tcPr>
          <w:p w14:paraId="0565A38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Mqtt</w:t>
            </w:r>
          </w:p>
        </w:tc>
        <w:tc>
          <w:tcPr>
            <w:tcW w:w="4508" w:type="dxa"/>
          </w:tcPr>
          <w:p w14:paraId="19D68345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Rest</w:t>
            </w:r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>la webgui</w:t>
      </w:r>
    </w:p>
    <w:p w14:paraId="04C38BA6" w14:textId="099AAC69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E29D554" w14:textId="6B497E47" w:rsidR="00DA3E79" w:rsidRDefault="00C0125C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>della webgui</w:t>
      </w:r>
    </w:p>
    <w:p w14:paraId="0D7C6D95" w14:textId="5A625F7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Progettazione per l’invio delle richieste </w:t>
      </w:r>
    </w:p>
    <w:p w14:paraId="00E9D087" w14:textId="7E38D9E8" w:rsidR="009A5559" w:rsidRPr="000F5304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Enunciazione esplicita dei requisiti della webgui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L’aggiornamento avviene tramite notifiche push, ottenute osservando la risorsa CoAP hold e inoltrate ai client via WebSocket.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278427FE" w14:textId="7934E823" w:rsidR="00E767E6" w:rsidRDefault="001F05C9" w:rsidP="001F05C9">
      <w:pPr>
        <w:rPr>
          <w:rFonts w:ascii="Calibri" w:hAnsi="Calibri" w:cs="Calibri"/>
          <w:color w:val="000000" w:themeColor="text1"/>
        </w:rPr>
      </w:pPr>
      <w:r w:rsidRPr="001F05C9">
        <w:rPr>
          <w:rFonts w:ascii="Calibri" w:hAnsi="Calibri" w:cs="Calibri"/>
          <w:color w:val="000000" w:themeColor="text1"/>
        </w:rPr>
        <w:t>L’obiettivo principale</w:t>
      </w:r>
      <w:r w:rsidR="00E767E6">
        <w:rPr>
          <w:rFonts w:ascii="Calibri" w:hAnsi="Calibri" w:cs="Calibri"/>
          <w:color w:val="000000" w:themeColor="text1"/>
        </w:rPr>
        <w:t xml:space="preserve"> di questo sprint</w:t>
      </w:r>
      <w:r w:rsidRPr="001F05C9">
        <w:rPr>
          <w:rFonts w:ascii="Calibri" w:hAnsi="Calibri" w:cs="Calibri"/>
          <w:color w:val="000000" w:themeColor="text1"/>
        </w:rPr>
        <w:t xml:space="preserve"> è la realizzazione della </w:t>
      </w:r>
      <w:r w:rsidRPr="001F05C9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1F05C9">
        <w:rPr>
          <w:rFonts w:ascii="Calibri" w:hAnsi="Calibri" w:cs="Calibri"/>
          <w:color w:val="000000" w:themeColor="text1"/>
        </w:rPr>
        <w:t>, che</w:t>
      </w:r>
      <w:r w:rsidR="00E767E6">
        <w:rPr>
          <w:rFonts w:ascii="Calibri" w:hAnsi="Calibri" w:cs="Calibri"/>
          <w:color w:val="000000" w:themeColor="text1"/>
        </w:rPr>
        <w:t xml:space="preserve"> consentirà agli utenti di monitorare in tempo reale lo stato della stiva. Per raggiungere questo scopo, è emersa la necessità di centralizzare le informazioni relative alla stiva </w:t>
      </w:r>
      <w:r w:rsidR="00A254B4">
        <w:rPr>
          <w:rFonts w:ascii="Calibri" w:hAnsi="Calibri" w:cs="Calibri"/>
          <w:color w:val="000000" w:themeColor="text1"/>
        </w:rPr>
        <w:t xml:space="preserve">e al peso del carico </w:t>
      </w:r>
      <w:r w:rsidR="00E767E6">
        <w:rPr>
          <w:rFonts w:ascii="Calibri" w:hAnsi="Calibri" w:cs="Calibri"/>
          <w:color w:val="000000" w:themeColor="text1"/>
        </w:rPr>
        <w:t>in u</w:t>
      </w:r>
      <w:r w:rsidR="00A254B4">
        <w:rPr>
          <w:rFonts w:ascii="Calibri" w:hAnsi="Calibri" w:cs="Calibri"/>
          <w:color w:val="000000" w:themeColor="text1"/>
        </w:rPr>
        <w:t>n unico punto di riferimento.</w:t>
      </w:r>
    </w:p>
    <w:p w14:paraId="2666CAA3" w14:textId="29B75131" w:rsidR="003B5C07" w:rsidRDefault="007B0CEE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Durante lo sprint1 il team aveva assegnato </w:t>
      </w:r>
      <w:r w:rsidR="00DF2D41">
        <w:rPr>
          <w:rFonts w:ascii="Calibri" w:hAnsi="Calibri" w:cs="Calibri"/>
          <w:color w:val="000000" w:themeColor="text1"/>
        </w:rPr>
        <w:t>la responsabilità della gestione dello stato degli slot e del calcolo del peso totale del carico</w:t>
      </w:r>
      <w:r>
        <w:rPr>
          <w:rFonts w:ascii="Calibri" w:hAnsi="Calibri" w:cs="Calibri"/>
          <w:color w:val="000000" w:themeColor="text1"/>
        </w:rPr>
        <w:t xml:space="preserve"> direttamente al </w:t>
      </w:r>
      <w:r>
        <w:rPr>
          <w:rFonts w:ascii="Calibri" w:hAnsi="Calibri" w:cs="Calibri"/>
          <w:i/>
          <w:iCs/>
          <w:color w:val="000000" w:themeColor="text1"/>
        </w:rPr>
        <w:t>cargoservice</w:t>
      </w:r>
      <w:r w:rsidR="00716AA6">
        <w:rPr>
          <w:rFonts w:ascii="Calibri" w:hAnsi="Calibri" w:cs="Calibri"/>
          <w:color w:val="000000" w:themeColor="text1"/>
        </w:rPr>
        <w:t xml:space="preserve">, ma </w:t>
      </w:r>
      <w:r w:rsidR="003B5C07">
        <w:rPr>
          <w:rFonts w:ascii="Calibri" w:hAnsi="Calibri" w:cs="Calibri"/>
          <w:color w:val="000000" w:themeColor="text1"/>
        </w:rPr>
        <w:t xml:space="preserve">mantenere tale </w:t>
      </w:r>
      <w:r w:rsidR="003B5C07">
        <w:rPr>
          <w:rFonts w:ascii="Calibri" w:hAnsi="Calibri" w:cs="Calibri"/>
          <w:color w:val="000000" w:themeColor="text1"/>
        </w:rPr>
        <w:lastRenderedPageBreak/>
        <w:t xml:space="preserve">struttura con l’aggiunta della webgui avrebbe reso il sistema estremamente complesso, difficile da mantenere e da far evolvere. La sua funzione principale è quella di coordinare le operazioni, non gestire i dati. </w:t>
      </w:r>
    </w:p>
    <w:p w14:paraId="37D58288" w14:textId="28EC8089" w:rsidR="00DF2D41" w:rsidRDefault="003B5C07" w:rsidP="00A26B9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Pertanto, si è deciso di fare un </w:t>
      </w:r>
      <w:r w:rsidRPr="003B5C07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e creare un nuovo componente specifico</w:t>
      </w:r>
      <w:r w:rsidR="00E970E8">
        <w:rPr>
          <w:rFonts w:ascii="Calibri" w:hAnsi="Calibri" w:cs="Calibri"/>
          <w:color w:val="000000" w:themeColor="text1"/>
        </w:rPr>
        <w:t xml:space="preserve">: il modello </w:t>
      </w:r>
      <w:r w:rsidR="00E970E8" w:rsidRPr="00E970E8">
        <w:rPr>
          <w:rFonts w:ascii="Calibri" w:hAnsi="Calibri" w:cs="Calibri"/>
          <w:b/>
          <w:bCs/>
          <w:color w:val="153D63" w:themeColor="text2" w:themeTint="E6"/>
        </w:rPr>
        <w:t>hold</w:t>
      </w:r>
      <w:r w:rsidR="00E970E8">
        <w:rPr>
          <w:rFonts w:ascii="Calibri" w:hAnsi="Calibri" w:cs="Calibri"/>
          <w:color w:val="000000" w:themeColor="text1"/>
        </w:rPr>
        <w:t>.</w:t>
      </w:r>
      <w:r w:rsidR="00A26B9A">
        <w:rPr>
          <w:rFonts w:ascii="Calibri" w:hAnsi="Calibri" w:cs="Calibri"/>
          <w:color w:val="000000" w:themeColor="text1"/>
        </w:rPr>
        <w:t xml:space="preserve"> </w:t>
      </w:r>
    </w:p>
    <w:p w14:paraId="6DA27D4E" w14:textId="77777777" w:rsidR="001A7A25" w:rsidRDefault="001A7A25" w:rsidP="00A26B9A">
      <w:pPr>
        <w:rPr>
          <w:rFonts w:ascii="Calibri" w:hAnsi="Calibri" w:cs="Calibri"/>
          <w:color w:val="000000" w:themeColor="text1"/>
        </w:rPr>
      </w:pPr>
    </w:p>
    <w:p w14:paraId="6B13B515" w14:textId="77777777" w:rsidR="001A7A25" w:rsidRDefault="001A7A25" w:rsidP="00A26B9A">
      <w:pPr>
        <w:rPr>
          <w:rFonts w:ascii="Calibri" w:hAnsi="Calibri" w:cs="Calibri"/>
          <w:color w:val="000000" w:themeColor="text1"/>
        </w:rPr>
      </w:pPr>
    </w:p>
    <w:p w14:paraId="3B4F64D6" w14:textId="6C505B8F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è mantenere aggiornate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0354BACB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r w:rsidR="00EC4523">
        <w:rPr>
          <w:rFonts w:ascii="Calibri" w:hAnsi="Calibri" w:cs="Calibri"/>
          <w:i/>
          <w:iCs/>
          <w:color w:val="000000" w:themeColor="text1"/>
        </w:rPr>
        <w:t>checkIfFits.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Request checkIfFits : checkIfFits(PID, Weight)</w:t>
            </w:r>
          </w:p>
        </w:tc>
      </w:tr>
    </w:tbl>
    <w:p w14:paraId="15918F74" w14:textId="77777777" w:rsidR="00EC4523" w:rsidRPr="00EC4523" w:rsidRDefault="00EC4523" w:rsidP="00EC4523">
      <w:pPr>
        <w:pStyle w:val="Paragrafoelenco"/>
        <w:rPr>
          <w:rFonts w:ascii="Calibri" w:hAnsi="Calibri" w:cs="Calibri"/>
          <w:color w:val="000000" w:themeColor="text1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accepted: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accettata e viene mandata un oggetto Json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refused: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19C70E2B" w14:textId="6F6360CB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lastRenderedPageBreak/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update(HoldJsonString)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>Comunicazione con la WebGui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 tramite CoAP</w:t>
      </w:r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(Constrained Application Protocol), uno dei protocolli più usati nell'Internet of Things. CoAP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CoAP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request-response</w:t>
      </w:r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 xml:space="preserve">ui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r>
        <w:rPr>
          <w:rFonts w:ascii="Calibri" w:hAnsi="Calibri" w:cs="Calibri"/>
          <w:color w:val="000000" w:themeColor="text1"/>
        </w:rPr>
        <w:t>CoAP: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update(HoldJsonString)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hold = HoldData()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val HoldJsonString = hold.holdToJson()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lastRenderedPageBreak/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updateResource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P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Notation)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(Plain Old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La classe HoldData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canLoad(int slotID, int productWeight)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richiesta dal CargoService. Restituisce true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>getAvailableSlot()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registerProductInSlot(Slot slot, int productWeight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(Cur_HoldWeight).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checkResultToJson(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 slot, int pid, int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 holdToJson()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429FE360" w14:textId="0716F33C" w:rsidR="00A71684" w:rsidRDefault="007F3D61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La WebGUI: </w:t>
      </w:r>
    </w:p>
    <w:p w14:paraId="7C53039E" w14:textId="7D76F3D0" w:rsidR="001C25A9" w:rsidRDefault="00841F68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</w:t>
      </w:r>
      <w:r w:rsidR="00287C11">
        <w:rPr>
          <w:rFonts w:ascii="Calibri" w:hAnsi="Calibri" w:cs="Calibri"/>
          <w:color w:val="000000" w:themeColor="text1"/>
        </w:rPr>
        <w:t xml:space="preserve">che include il monitoraggio degli slot e del peso totale trasportato. In precedenza, un attore webgui_mock era utilizzato per emulare questa funzionalità, con </w:t>
      </w:r>
      <w:r w:rsidR="001C25A9"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="001C25A9"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="001C25A9"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 w:rsidR="001C25A9">
        <w:rPr>
          <w:rFonts w:ascii="Calibri" w:hAnsi="Calibri" w:cs="Calibri"/>
          <w:color w:val="000000" w:themeColor="text1"/>
        </w:rPr>
        <w:t xml:space="preserve"> descritto prima. </w:t>
      </w:r>
    </w:p>
    <w:p w14:paraId="306B58C5" w14:textId="711F6293" w:rsidR="00AE3186" w:rsidRDefault="00AE3186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r w:rsidR="001C25A9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1C25A9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r w:rsidR="001C25A9">
        <w:rPr>
          <w:rFonts w:ascii="Calibri" w:hAnsi="Calibri" w:cs="Calibri"/>
          <w:color w:val="000000" w:themeColor="text1"/>
        </w:rPr>
        <w:t xml:space="preserve"> funziona come segue</w:t>
      </w:r>
      <w:r>
        <w:rPr>
          <w:rFonts w:ascii="Calibri" w:hAnsi="Calibri" w:cs="Calibri"/>
          <w:color w:val="000000" w:themeColor="text1"/>
        </w:rPr>
        <w:t>:</w:t>
      </w:r>
    </w:p>
    <w:p w14:paraId="46C9EB5C" w14:textId="3652A7B4" w:rsidR="00D45516" w:rsidRPr="00D45516" w:rsidRDefault="00AE3186" w:rsidP="00D45516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All’avvio comincia ad </w:t>
      </w:r>
      <w:r w:rsidR="00C64AFE" w:rsidRPr="00A51BF4">
        <w:rPr>
          <w:rFonts w:ascii="Calibri" w:hAnsi="Calibri" w:cs="Calibri"/>
          <w:b/>
          <w:bCs/>
          <w:color w:val="153D63" w:themeColor="text2" w:themeTint="E6"/>
        </w:rPr>
        <w:t xml:space="preserve">osservare </w:t>
      </w:r>
      <w:r w:rsidR="00D45516" w:rsidRPr="00D45516">
        <w:rPr>
          <w:rFonts w:ascii="Calibri" w:hAnsi="Calibri" w:cs="Calibri"/>
          <w:color w:val="000000" w:themeColor="text1"/>
        </w:rPr>
        <w:t>il componente</w:t>
      </w:r>
      <w:r w:rsidR="00D45516">
        <w:rPr>
          <w:rFonts w:ascii="Calibri" w:hAnsi="Calibri" w:cs="Calibri"/>
          <w:color w:val="000000" w:themeColor="text1"/>
        </w:rPr>
        <w:t xml:space="preserve"> hold come risorsa CoAP e </w:t>
      </w:r>
      <w:r w:rsidR="001C25A9">
        <w:rPr>
          <w:rFonts w:ascii="Calibri" w:hAnsi="Calibri" w:cs="Calibri"/>
          <w:color w:val="000000" w:themeColor="text1"/>
        </w:rPr>
        <w:t>visualizza lo stato iniziale della stiva.</w:t>
      </w:r>
    </w:p>
    <w:p w14:paraId="37C3B74A" w14:textId="5A4EEF43" w:rsidR="00920E3D" w:rsidRPr="00920E3D" w:rsidRDefault="00D45516" w:rsidP="00920E3D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All’arrivo di ciascun </w:t>
      </w:r>
      <w:r w:rsidR="001C25A9">
        <w:rPr>
          <w:rFonts w:ascii="Calibri" w:hAnsi="Calibri" w:cs="Calibri"/>
          <w:color w:val="000000" w:themeColor="text1"/>
        </w:rPr>
        <w:t>aggiornamento</w:t>
      </w:r>
      <w:r>
        <w:rPr>
          <w:rFonts w:ascii="Calibri" w:hAnsi="Calibri" w:cs="Calibri"/>
          <w:color w:val="000000" w:themeColor="text1"/>
        </w:rPr>
        <w:t>, modifica i valori dell’interfaccia e aggiorna lo sta</w:t>
      </w:r>
      <w:r w:rsidR="001C25A9">
        <w:rPr>
          <w:rFonts w:ascii="Calibri" w:hAnsi="Calibri" w:cs="Calibri"/>
          <w:color w:val="000000" w:themeColor="text1"/>
        </w:rPr>
        <w:t>to della stiva dinamicamente.</w:t>
      </w:r>
    </w:p>
    <w:p w14:paraId="336CA30C" w14:textId="35AC82D5" w:rsidR="00EA28C6" w:rsidRPr="00920E3D" w:rsidRDefault="00611193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="00E6677E"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 w:rsidR="00920E3D">
        <w:rPr>
          <w:rFonts w:ascii="Calibri" w:hAnsi="Calibri" w:cs="Calibri"/>
          <w:color w:val="000000" w:themeColor="text1"/>
        </w:rPr>
        <w:t>, dato che riceve soltanto informazioni.</w:t>
      </w:r>
    </w:p>
    <w:p w14:paraId="553C7AC5" w14:textId="0277B12F" w:rsidR="004E54A0" w:rsidRPr="000171CD" w:rsidRDefault="004E54A0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webgui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SpringBoot,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</w:t>
      </w:r>
      <w:r w:rsidR="00611193" w:rsidRPr="00E6677E">
        <w:rPr>
          <w:rFonts w:ascii="Calibri" w:hAnsi="Calibri" w:cs="Calibri"/>
          <w:color w:val="000000" w:themeColor="text1"/>
        </w:rPr>
        <w:lastRenderedPageBreak/>
        <w:t>vari sistemi di backend,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>il client CoAP che ottiene i messaggi.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9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r w:rsidR="00A262E8" w:rsidRPr="00EA28C6">
        <w:rPr>
          <w:rFonts w:ascii="Calibri" w:hAnsi="Calibri" w:cs="Calibri"/>
          <w:color w:val="000000" w:themeColor="text1"/>
        </w:rPr>
        <w:t xml:space="preserve">WebSocket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Gestisce le connessioni WebSocket in entrata, permettendo l’invio di messaggi a tutte le sessioni connesse.</w:t>
      </w:r>
    </w:p>
    <w:p w14:paraId="029E33C5" w14:textId="63FC28D0" w:rsidR="008C67EE" w:rsidRPr="008C67EE" w:rsidRDefault="008C67EE" w:rsidP="00EA28C6">
      <w:pPr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sendToAll: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sendToAll </w:t>
      </w:r>
      <w:r w:rsidR="00A262E8" w:rsidRPr="00BD2F5E">
        <w:rPr>
          <w:rFonts w:ascii="Calibri" w:hAnsi="Calibri" w:cs="Calibri"/>
          <w:color w:val="000000" w:themeColor="text1"/>
        </w:rPr>
        <w:t>è utilizzato per inviare i messaggi ricevuti da CoAP a tutte le sessioni WebSocket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0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WSHandler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1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0F891F3D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>Fa da ponte tra il protocollo CoAP e WebSocket.</w:t>
      </w:r>
      <w:r w:rsidR="005F00EA">
        <w:rPr>
          <w:rFonts w:ascii="Calibri" w:hAnsi="Calibri" w:cs="Calibri"/>
          <w:color w:val="000000" w:themeColor="text1"/>
        </w:rPr>
        <w:t xml:space="preserve"> </w:t>
      </w:r>
    </w:p>
    <w:p w14:paraId="404B4839" w14:textId="06E0ABE0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>. Ogni volta che hold viene aggiornata, la WebSocket riceverà un messaggio.</w:t>
      </w:r>
      <w:r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CoAP (observeResource):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CoAP, il contenuto viene parsato (convertito in un oggetto JSON) e inviato a tutte le sessioni WebSocket attive tramite il componente WSHandler.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La comunicazione tra CoAP e WebSocket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WebSocket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Coap sono in forma JSON. </w:t>
      </w:r>
    </w:p>
    <w:p w14:paraId="72CD43B2" w14:textId="76AAD62C" w:rsidR="000E6ECF" w:rsidRPr="000E6ECF" w:rsidRDefault="000E6ECF" w:rsidP="00EA28C6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La classe </w:t>
      </w:r>
      <w:hyperlink r:id="rId12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r w:rsidRPr="000E6ECF">
        <w:rPr>
          <w:rFonts w:ascii="Calibri" w:hAnsi="Calibri" w:cs="Calibri"/>
          <w:b/>
          <w:bCs/>
          <w:color w:val="153D63" w:themeColor="text2" w:themeTint="E6"/>
        </w:rPr>
        <w:t>parseHoldState(String message)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>, che permette di ricevere notifiche push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websocket, in modo da poter iniziare a ricevere gli aggiornamenti da parte del server.  </w:t>
      </w:r>
    </w:p>
    <w:p w14:paraId="2971FE51" w14:textId="733CE1DB" w:rsidR="00C95415" w:rsidRPr="007A30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E0A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04CFDBF6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6469559B" w14:textId="77777777" w:rsidR="007A3075" w:rsidRPr="007A3075" w:rsidRDefault="007A307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</w:p>
    <w:p w14:paraId="1F1A4CD1" w14:textId="1E8DB24A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Progettazione per l’invio delle richieste:</w:t>
      </w:r>
    </w:p>
    <w:p w14:paraId="67B12AE9" w14:textId="534FA412" w:rsidR="00A839EB" w:rsidRDefault="002706D6" w:rsidP="00C4411B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="00C95415"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</w:t>
        </w:r>
        <w:r w:rsidR="00A839EB"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mpanyRequestReceiver</w:t>
        </w:r>
      </w:hyperlink>
      <w:r w:rsidR="00A839EB"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5D3DB19C" w14:textId="13894B37" w:rsidR="00997F15" w:rsidRDefault="00997F15" w:rsidP="00C4411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Come visto nello sprint0, il sistema deve essere in grado di ricevere le richieste di carico (load request) da parte della compagnia.</w:t>
      </w:r>
      <w:r>
        <w:rPr>
          <w:rFonts w:ascii="Calibri" w:hAnsi="Calibri" w:cs="Calibri"/>
          <w:color w:val="000000" w:themeColor="text1"/>
        </w:rPr>
        <w:t xml:space="preserve"> </w:t>
      </w:r>
    </w:p>
    <w:p w14:paraId="05E16D43" w14:textId="7803D27C" w:rsidR="00997F15" w:rsidRPr="00997F15" w:rsidRDefault="00997F15" w:rsidP="00C4411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Esso</w:t>
      </w:r>
      <w:r w:rsidRPr="00997F15">
        <w:rPr>
          <w:rFonts w:ascii="Calibri" w:hAnsi="Calibri" w:cs="Calibri"/>
          <w:color w:val="000000" w:themeColor="text1"/>
        </w:rPr>
        <w:t xml:space="preserve"> è responsabile della gestione delle richieste di carico provenienti dalla WebGUI.</w:t>
      </w:r>
      <w:r>
        <w:rPr>
          <w:rFonts w:ascii="Calibri" w:hAnsi="Calibri" w:cs="Calibri"/>
          <w:color w:val="000000" w:themeColor="text1"/>
        </w:rPr>
        <w:t xml:space="preserve"> </w:t>
      </w:r>
      <w:r w:rsidRPr="00997F15">
        <w:rPr>
          <w:rFonts w:ascii="Calibri" w:hAnsi="Calibri" w:cs="Calibri"/>
          <w:color w:val="000000" w:themeColor="text1"/>
        </w:rPr>
        <w:br/>
      </w:r>
      <w:r w:rsidR="00DF252D" w:rsidRPr="00DF252D">
        <w:rPr>
          <w:rFonts w:ascii="Calibri" w:hAnsi="Calibri" w:cs="Calibri"/>
          <w:color w:val="000000" w:themeColor="text1"/>
        </w:rPr>
        <w:t>R</w:t>
      </w:r>
      <w:r w:rsidRPr="00DF252D">
        <w:rPr>
          <w:rFonts w:ascii="Calibri" w:hAnsi="Calibri" w:cs="Calibri"/>
          <w:color w:val="000000" w:themeColor="text1"/>
        </w:rPr>
        <w:t>iceve</w:t>
      </w:r>
      <w:r w:rsidRPr="00997F15">
        <w:rPr>
          <w:rFonts w:ascii="Calibri" w:hAnsi="Calibri" w:cs="Calibri"/>
          <w:color w:val="000000" w:themeColor="text1"/>
        </w:rPr>
        <w:t xml:space="preserve"> le richieste della compagnia e ne coordina l’inoltro verso il CargoService, garantendo al tempo stesso una comunicazione immediata con la GUI.</w:t>
      </w:r>
    </w:p>
    <w:p w14:paraId="0BF48D4D" w14:textId="77777777" w:rsidR="00997F15" w:rsidRDefault="00997F15" w:rsidP="00997F15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particolare:</w:t>
      </w:r>
    </w:p>
    <w:p w14:paraId="3F68E1A2" w14:textId="77777777" w:rsidR="00997F15" w:rsidRPr="00997F15" w:rsidRDefault="00997F15" w:rsidP="00997F15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997F15">
        <w:rPr>
          <w:rFonts w:ascii="Calibri" w:hAnsi="Calibri" w:cs="Calibri"/>
          <w:color w:val="000000" w:themeColor="text1"/>
        </w:rPr>
        <w:t>attende le richieste di carico inviate dalla compagnia;</w:t>
      </w:r>
    </w:p>
    <w:p w14:paraId="099436A6" w14:textId="7FF30D93" w:rsidR="00997F15" w:rsidRPr="00997F15" w:rsidRDefault="00997F15" w:rsidP="00997F15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997F15">
        <w:rPr>
          <w:rFonts w:ascii="Calibri" w:hAnsi="Calibri" w:cs="Calibri"/>
          <w:color w:val="000000" w:themeColor="text1"/>
        </w:rPr>
        <w:t>verifica la disponibilità del sistema: se libero</w:t>
      </w:r>
      <w:r>
        <w:rPr>
          <w:rFonts w:ascii="Calibri" w:hAnsi="Calibri" w:cs="Calibri"/>
          <w:color w:val="000000" w:themeColor="text1"/>
        </w:rPr>
        <w:t>,</w:t>
      </w:r>
      <w:r w:rsidRPr="00997F15">
        <w:rPr>
          <w:rFonts w:ascii="Calibri" w:hAnsi="Calibri" w:cs="Calibri"/>
          <w:color w:val="000000" w:themeColor="text1"/>
        </w:rPr>
        <w:t xml:space="preserve"> accetta la richiesta, altrimenti la rifiuta immediatamente;</w:t>
      </w:r>
    </w:p>
    <w:p w14:paraId="1043D048" w14:textId="77777777" w:rsidR="00997F15" w:rsidRPr="00997F15" w:rsidRDefault="00997F15" w:rsidP="00997F15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997F15">
        <w:rPr>
          <w:rFonts w:ascii="Calibri" w:hAnsi="Calibri" w:cs="Calibri"/>
          <w:color w:val="000000" w:themeColor="text1"/>
        </w:rPr>
        <w:t xml:space="preserve">inoltra le richieste accettate al </w:t>
      </w:r>
      <w:r w:rsidRPr="00997F15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997F15">
        <w:rPr>
          <w:rFonts w:ascii="Calibri" w:hAnsi="Calibri" w:cs="Calibri"/>
          <w:color w:val="153D63" w:themeColor="text2" w:themeTint="E6"/>
        </w:rPr>
        <w:t xml:space="preserve"> </w:t>
      </w:r>
      <w:r w:rsidRPr="00997F15">
        <w:rPr>
          <w:rFonts w:ascii="Calibri" w:hAnsi="Calibri" w:cs="Calibri"/>
          <w:color w:val="000000" w:themeColor="text1"/>
        </w:rPr>
        <w:t>e rimane in attesa dell’esito;</w:t>
      </w:r>
    </w:p>
    <w:p w14:paraId="7BE9C5CA" w14:textId="77777777" w:rsidR="00997F15" w:rsidRPr="00997F15" w:rsidRDefault="00997F15" w:rsidP="00997F15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997F15">
        <w:rPr>
          <w:rFonts w:ascii="Calibri" w:hAnsi="Calibri" w:cs="Calibri"/>
          <w:color w:val="000000" w:themeColor="text1"/>
        </w:rPr>
        <w:t>invia una risposta immediata alla GUI, per confermare o meno la presa in carico della richiesta;</w:t>
      </w:r>
    </w:p>
    <w:p w14:paraId="49A70194" w14:textId="33270B50" w:rsidR="00997F15" w:rsidRPr="00997F15" w:rsidRDefault="00997F15" w:rsidP="00997F15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997F15">
        <w:rPr>
          <w:rFonts w:ascii="Calibri" w:hAnsi="Calibri" w:cs="Calibri"/>
          <w:color w:val="000000" w:themeColor="text1"/>
        </w:rPr>
        <w:t>aggiorna successivamente la GUI, tramite notifiche CoAP, comunicando l’esito finale dell’operazione.</w:t>
      </w:r>
    </w:p>
    <w:p w14:paraId="288E8E3A" w14:textId="3580B445" w:rsidR="00997F15" w:rsidRDefault="00114A4C" w:rsidP="00DD1F3A">
      <w:pPr>
        <w:rPr>
          <w:rFonts w:ascii="Calibri" w:hAnsi="Calibri" w:cs="Calibri"/>
          <w:color w:val="000000" w:themeColor="text1"/>
        </w:rPr>
      </w:pPr>
      <w:r w:rsidRPr="00114A4C">
        <w:rPr>
          <w:rFonts w:ascii="Calibri" w:hAnsi="Calibri" w:cs="Calibri"/>
          <w:color w:val="000000" w:themeColor="text1"/>
        </w:rPr>
        <w:t xml:space="preserve">Questo attore sostituisce il simulatore di richieste utilizzato nello </w:t>
      </w:r>
      <w:r w:rsidRPr="00114A4C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114A4C">
        <w:rPr>
          <w:rFonts w:ascii="Calibri" w:hAnsi="Calibri" w:cs="Calibri"/>
          <w:color w:val="153D63" w:themeColor="text2" w:themeTint="E6"/>
        </w:rPr>
        <w:t xml:space="preserve"> </w:t>
      </w:r>
      <w:r w:rsidRPr="00114A4C">
        <w:rPr>
          <w:rFonts w:ascii="Calibri" w:hAnsi="Calibri" w:cs="Calibri"/>
          <w:color w:val="000000" w:themeColor="text1"/>
        </w:rPr>
        <w:t>e rappresenta il punto di ingresso reale delle richieste di carico nel sistema, garantendo sia la gestione esclusiva delle richieste sia un aggiornamento costante dello stato verso l’interfaccia utente.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RequestSender: </w:t>
      </w:r>
    </w:p>
    <w:p w14:paraId="5D620DE4" w14:textId="2C1500D0" w:rsidR="00DF3F26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 facilitare sia il debug, che l’utente stesso, è stata creata 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color w:val="000000" w:themeColor="text1"/>
        </w:rPr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466C874D" w14:textId="18134EAF" w:rsidR="00094B2E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L’interfaccia segnala se la richiesta è stata mandata correttamente al sistema cargoservice o se quest’ultimo è già occupato e pertanto non può prenderne in carico un’altra.</w:t>
      </w:r>
    </w:p>
    <w:p w14:paraId="2344FD62" w14:textId="15111E14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Segnala se la richiesta è stata completata con un successo o con un fallimento.</w:t>
      </w:r>
    </w:p>
    <w:p w14:paraId="11F82DA5" w14:textId="678CE549" w:rsidR="00094B2E" w:rsidRDefault="00094B2E" w:rsidP="00DD1F3A">
      <w:hyperlink r:id="rId16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12882635" w:rsidR="00DD1F3A" w:rsidRPr="001620B4" w:rsidRDefault="001620B4" w:rsidP="00DD1F3A">
      <w:pPr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CallerService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60D0BD29" w14:textId="3225B628" w:rsidR="001620B4" w:rsidRPr="00980FEF" w:rsidRDefault="001620B4" w:rsidP="00DD1F3A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Una volta giunta al sistema, l’attore CompanyRequestReceiver se ne occupa.</w:t>
      </w:r>
    </w:p>
    <w:p w14:paraId="237C1525" w14:textId="6BC9F073" w:rsidR="002F512B" w:rsidRDefault="002F512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Test:</w:t>
      </w:r>
    </w:p>
    <w:p w14:paraId="2E1D919B" w14:textId="77777777" w:rsidR="00980FEF" w:rsidRDefault="00980FEF" w:rsidP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 con modello eseguibile:</w:t>
      </w:r>
    </w:p>
    <w:p w14:paraId="4E159C64" w14:textId="77777777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4B1DDF18" w14:textId="77777777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4A2A401A" w14:textId="1A9505FB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drawing>
          <wp:inline distT="0" distB="0" distL="0" distR="0" wp14:anchorId="62133357" wp14:editId="5704D6EC">
            <wp:extent cx="5534025" cy="3429537"/>
            <wp:effectExtent l="0" t="0" r="0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7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16" cy="343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6C1E" w14:textId="54CAF76B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076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drawing>
          <wp:inline distT="0" distB="0" distL="0" distR="0" wp14:anchorId="0982AE7F" wp14:editId="0457E159">
            <wp:extent cx="3876675" cy="3305175"/>
            <wp:effectExtent l="0" t="0" r="9525" b="9525"/>
            <wp:docPr id="505111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107" name=""/>
                    <pic:cNvPicPr/>
                  </pic:nvPicPr>
                  <pic:blipFill rotWithShape="1">
                    <a:blip r:embed="rId18"/>
                    <a:srcRect l="16286" t="17374" r="16076" b="2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ECB1BF6" w14:textId="248A6BB6" w:rsidR="002F512B" w:rsidRDefault="002F512B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Si intende </w:t>
      </w:r>
    </w:p>
    <w:p w14:paraId="0EF858E8" w14:textId="77777777" w:rsidR="00980FEF" w:rsidRPr="002F512B" w:rsidRDefault="00980FEF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sectPr w:rsidR="00980FEF" w:rsidRPr="002F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7"/>
  </w:num>
  <w:num w:numId="2" w16cid:durableId="281812290">
    <w:abstractNumId w:val="4"/>
  </w:num>
  <w:num w:numId="3" w16cid:durableId="1941140501">
    <w:abstractNumId w:val="8"/>
  </w:num>
  <w:num w:numId="4" w16cid:durableId="1056974043">
    <w:abstractNumId w:val="6"/>
  </w:num>
  <w:num w:numId="5" w16cid:durableId="1789549499">
    <w:abstractNumId w:val="11"/>
  </w:num>
  <w:num w:numId="6" w16cid:durableId="385109220">
    <w:abstractNumId w:val="1"/>
  </w:num>
  <w:num w:numId="7" w16cid:durableId="1712069232">
    <w:abstractNumId w:val="5"/>
  </w:num>
  <w:num w:numId="8" w16cid:durableId="397287416">
    <w:abstractNumId w:val="12"/>
  </w:num>
  <w:num w:numId="9" w16cid:durableId="461923509">
    <w:abstractNumId w:val="10"/>
  </w:num>
  <w:num w:numId="10" w16cid:durableId="1412655073">
    <w:abstractNumId w:val="9"/>
  </w:num>
  <w:num w:numId="11" w16cid:durableId="1059671970">
    <w:abstractNumId w:val="0"/>
  </w:num>
  <w:num w:numId="12" w16cid:durableId="1446802336">
    <w:abstractNumId w:val="3"/>
  </w:num>
  <w:num w:numId="13" w16cid:durableId="1309238519">
    <w:abstractNumId w:val="14"/>
  </w:num>
  <w:num w:numId="14" w16cid:durableId="1465347826">
    <w:abstractNumId w:val="13"/>
  </w:num>
  <w:num w:numId="15" w16cid:durableId="1612980712">
    <w:abstractNumId w:val="2"/>
  </w:num>
  <w:num w:numId="16" w16cid:durableId="57674007">
    <w:abstractNumId w:val="16"/>
  </w:num>
  <w:num w:numId="17" w16cid:durableId="13288208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841"/>
    <w:rsid w:val="000078C8"/>
    <w:rsid w:val="00014709"/>
    <w:rsid w:val="000171CD"/>
    <w:rsid w:val="0003704D"/>
    <w:rsid w:val="00044251"/>
    <w:rsid w:val="00050487"/>
    <w:rsid w:val="00061C5A"/>
    <w:rsid w:val="00073478"/>
    <w:rsid w:val="00084D6E"/>
    <w:rsid w:val="00094B2E"/>
    <w:rsid w:val="000A2FB3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7C11"/>
    <w:rsid w:val="002A07B8"/>
    <w:rsid w:val="002A189F"/>
    <w:rsid w:val="002A6531"/>
    <w:rsid w:val="002F512B"/>
    <w:rsid w:val="003045FB"/>
    <w:rsid w:val="00312C28"/>
    <w:rsid w:val="00367D3F"/>
    <w:rsid w:val="0039201B"/>
    <w:rsid w:val="00393AE9"/>
    <w:rsid w:val="003B49DB"/>
    <w:rsid w:val="003B5C07"/>
    <w:rsid w:val="003B5C41"/>
    <w:rsid w:val="003C2C7A"/>
    <w:rsid w:val="00400D6B"/>
    <w:rsid w:val="00403C04"/>
    <w:rsid w:val="00445AF3"/>
    <w:rsid w:val="0044764E"/>
    <w:rsid w:val="00457F19"/>
    <w:rsid w:val="00471174"/>
    <w:rsid w:val="004759E9"/>
    <w:rsid w:val="0048557F"/>
    <w:rsid w:val="00491C78"/>
    <w:rsid w:val="00491F73"/>
    <w:rsid w:val="004A120C"/>
    <w:rsid w:val="004D0368"/>
    <w:rsid w:val="004E17E1"/>
    <w:rsid w:val="004E54A0"/>
    <w:rsid w:val="004F16B7"/>
    <w:rsid w:val="00501B90"/>
    <w:rsid w:val="00502EDE"/>
    <w:rsid w:val="0057782E"/>
    <w:rsid w:val="005A7813"/>
    <w:rsid w:val="005B42AF"/>
    <w:rsid w:val="005C3F1C"/>
    <w:rsid w:val="005E76DC"/>
    <w:rsid w:val="005F00EA"/>
    <w:rsid w:val="00604A57"/>
    <w:rsid w:val="00611193"/>
    <w:rsid w:val="00612BE6"/>
    <w:rsid w:val="0062347C"/>
    <w:rsid w:val="00625989"/>
    <w:rsid w:val="006436FF"/>
    <w:rsid w:val="006A7E44"/>
    <w:rsid w:val="006B79CC"/>
    <w:rsid w:val="006C1157"/>
    <w:rsid w:val="006D0669"/>
    <w:rsid w:val="006F08A5"/>
    <w:rsid w:val="00706CED"/>
    <w:rsid w:val="00716AA6"/>
    <w:rsid w:val="00755DD7"/>
    <w:rsid w:val="007865C1"/>
    <w:rsid w:val="00791A2C"/>
    <w:rsid w:val="007A1FBD"/>
    <w:rsid w:val="007A3075"/>
    <w:rsid w:val="007B0CEE"/>
    <w:rsid w:val="007B3906"/>
    <w:rsid w:val="007C22CE"/>
    <w:rsid w:val="007E0BE4"/>
    <w:rsid w:val="007E3DC3"/>
    <w:rsid w:val="007F0205"/>
    <w:rsid w:val="007F3D61"/>
    <w:rsid w:val="007F6351"/>
    <w:rsid w:val="00803C88"/>
    <w:rsid w:val="00841F68"/>
    <w:rsid w:val="00854B2A"/>
    <w:rsid w:val="008567A7"/>
    <w:rsid w:val="00863DF2"/>
    <w:rsid w:val="008918F1"/>
    <w:rsid w:val="008C62CB"/>
    <w:rsid w:val="008C67EE"/>
    <w:rsid w:val="008F2400"/>
    <w:rsid w:val="00920E3D"/>
    <w:rsid w:val="00922B25"/>
    <w:rsid w:val="00926500"/>
    <w:rsid w:val="00935B9A"/>
    <w:rsid w:val="00963B9E"/>
    <w:rsid w:val="00980FEF"/>
    <w:rsid w:val="009927A5"/>
    <w:rsid w:val="00997F15"/>
    <w:rsid w:val="009A0AEF"/>
    <w:rsid w:val="009A5559"/>
    <w:rsid w:val="009B7A83"/>
    <w:rsid w:val="009E57C3"/>
    <w:rsid w:val="009E6861"/>
    <w:rsid w:val="009F6F1B"/>
    <w:rsid w:val="00A254B4"/>
    <w:rsid w:val="00A262E8"/>
    <w:rsid w:val="00A26B9A"/>
    <w:rsid w:val="00A32456"/>
    <w:rsid w:val="00A34834"/>
    <w:rsid w:val="00A51BF4"/>
    <w:rsid w:val="00A5305C"/>
    <w:rsid w:val="00A66FE8"/>
    <w:rsid w:val="00A71684"/>
    <w:rsid w:val="00A746AB"/>
    <w:rsid w:val="00A839EB"/>
    <w:rsid w:val="00AB5640"/>
    <w:rsid w:val="00AC3652"/>
    <w:rsid w:val="00AC4829"/>
    <w:rsid w:val="00AC68AD"/>
    <w:rsid w:val="00AD3076"/>
    <w:rsid w:val="00AE3186"/>
    <w:rsid w:val="00B5619E"/>
    <w:rsid w:val="00B84944"/>
    <w:rsid w:val="00B90763"/>
    <w:rsid w:val="00BA72AC"/>
    <w:rsid w:val="00BB756A"/>
    <w:rsid w:val="00BC690C"/>
    <w:rsid w:val="00BC77D9"/>
    <w:rsid w:val="00BD2F5E"/>
    <w:rsid w:val="00BE7C17"/>
    <w:rsid w:val="00C0125C"/>
    <w:rsid w:val="00C4411B"/>
    <w:rsid w:val="00C44877"/>
    <w:rsid w:val="00C64AFE"/>
    <w:rsid w:val="00C95415"/>
    <w:rsid w:val="00C96033"/>
    <w:rsid w:val="00CC3572"/>
    <w:rsid w:val="00CC4258"/>
    <w:rsid w:val="00D0747E"/>
    <w:rsid w:val="00D32143"/>
    <w:rsid w:val="00D33A93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E6677E"/>
    <w:rsid w:val="00E767E6"/>
    <w:rsid w:val="00E970E8"/>
    <w:rsid w:val="00EA155A"/>
    <w:rsid w:val="00EA28C6"/>
    <w:rsid w:val="00EC4523"/>
    <w:rsid w:val="00EC4651"/>
    <w:rsid w:val="00ED47D7"/>
    <w:rsid w:val="00EE5A09"/>
    <w:rsid w:val="00F02D5B"/>
    <w:rsid w:val="00F154C2"/>
    <w:rsid w:val="00F465CD"/>
    <w:rsid w:val="00F82773"/>
    <w:rsid w:val="00FC4F97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utils/HoldResponsePars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webgui/src/main/java/unibo/webgui/service/CallerService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Sveva\Documents\GitHub\CargoService\sprint3\webgui\src\main\java\unibo\webgui\coap\CoapToWS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webgui/src/main/java/unibo/webgui/ws/WebSocketConfig.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ebgui/src/main/java/unibo/webgui/ws/WSHandler.java" TargetMode="External"/><Relationship Id="rId14" Type="http://schemas.openxmlformats.org/officeDocument/2006/relationships/hyperlink" Target="cargoservice/src/cargoservice.q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13</Pages>
  <Words>2866</Words>
  <Characters>16339</Characters>
  <Application>Microsoft Office Word</Application>
  <DocSecurity>0</DocSecurity>
  <Lines>136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161</cp:revision>
  <dcterms:created xsi:type="dcterms:W3CDTF">2025-08-20T09:28:00Z</dcterms:created>
  <dcterms:modified xsi:type="dcterms:W3CDTF">2025-08-31T15:53:00Z</dcterms:modified>
</cp:coreProperties>
</file>