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Times New Roman"/>
          <w:b/>
          <w:color w:val="000000"/>
          <w:sz w:val="28"/>
        </w:rPr>
        <w:t>Midterm Project: QA Implementation and Empirical Analysis</w:t>
      </w:r>
    </w:p>
    <w:p>
      <w:pPr>
        <w:jc w:val="center"/>
      </w:pPr>
      <w:r>
        <w:rPr>
          <w:rFonts w:ascii="Times New Roman" w:hAnsi="Times New Roman" w:eastAsia="Times New Roman"/>
          <w:b w:val="0"/>
          <w:color w:val="000000"/>
          <w:sz w:val="24"/>
        </w:rPr>
        <w:t>Student: Dias Kazikhanov</w:t>
      </w:r>
    </w:p>
    <w:p>
      <w:pPr>
        <w:jc w:val="center"/>
      </w:pPr>
      <w:r>
        <w:rPr>
          <w:rFonts w:ascii="Times New Roman" w:hAnsi="Times New Roman" w:eastAsia="Times New Roman"/>
          <w:b w:val="0"/>
          <w:color w:val="000000"/>
          <w:sz w:val="24"/>
        </w:rPr>
        <w:t>Group: CSE-2506M</w:t>
      </w:r>
    </w:p>
    <w:p>
      <w:pPr>
        <w:jc w:val="center"/>
      </w:pPr>
      <w:r>
        <w:rPr>
          <w:rFonts w:ascii="Times New Roman" w:hAnsi="Times New Roman" w:eastAsia="Times New Roman"/>
          <w:b w:val="0"/>
          <w:color w:val="000000"/>
          <w:sz w:val="24"/>
        </w:rPr>
        <w:t>Course: Advanced QA</w:t>
      </w:r>
    </w:p>
    <w:p>
      <w:pPr>
        <w:jc w:val="center"/>
      </w:pPr>
      <w:r>
        <w:rPr>
          <w:rFonts w:ascii="Times New Roman" w:hAnsi="Times New Roman" w:eastAsia="Times New Roman"/>
          <w:b w:val="0"/>
          <w:color w:val="000000"/>
          <w:sz w:val="24"/>
        </w:rPr>
        <w:t>Date: April 10, 2026</w:t>
      </w:r>
    </w:p>
    <w:p>
      <w:pPr>
        <w:spacing w:before="160" w:after="80"/>
      </w:pPr>
      <w:r>
        <w:rPr>
          <w:rFonts w:ascii="Times New Roman" w:hAnsi="Times New Roman" w:eastAsia="Times New Roman"/>
          <w:b/>
          <w:color w:val="000000"/>
          <w:sz w:val="28"/>
        </w:rPr>
        <w:t>1. System Description</w:t>
      </w:r>
    </w:p>
    <w:p>
      <w:pPr>
        <w:spacing w:after="60"/>
      </w:pPr>
      <w:r>
        <w:rPr>
          <w:rFonts w:ascii="Times New Roman" w:hAnsi="Times New Roman" w:eastAsia="Times New Roman"/>
          <w:b w:val="0"/>
          <w:color w:val="000000"/>
          <w:sz w:val="24"/>
        </w:rPr>
        <w:t>The system under test is Habaneras de Lino DRF API. It is an e-commerce backend that provides catalog browsing, cart handling, checkout, payment integration, pricing, and dashboard management features.</w:t>
      </w:r>
    </w:p>
    <w:p>
      <w:pPr>
        <w:spacing w:after="60"/>
      </w:pPr>
      <w:r>
        <w:rPr>
          <w:rFonts w:ascii="Times New Roman" w:hAnsi="Times New Roman" w:eastAsia="Times New Roman"/>
          <w:b w:val="0"/>
          <w:color w:val="000000"/>
          <w:sz w:val="24"/>
        </w:rPr>
        <w:t>- Architecture: monolithic Django application with REST endpoints and server-rendered dashboard pages.</w:t>
      </w:r>
    </w:p>
    <w:p>
      <w:pPr>
        <w:spacing w:after="60"/>
      </w:pPr>
      <w:r>
        <w:rPr>
          <w:rFonts w:ascii="Times New Roman" w:hAnsi="Times New Roman" w:eastAsia="Times New Roman"/>
          <w:b w:val="0"/>
          <w:color w:val="000000"/>
          <w:sz w:val="24"/>
        </w:rPr>
        <w:t>- Technologies used: Django, Django REST Framework, PostgreSQL, Docker, Docker Compose, Nginx, Stripe, pytest, requests, Playwright, GitHub Actions.</w:t>
      </w:r>
    </w:p>
    <w:p>
      <w:pPr>
        <w:spacing w:after="60"/>
      </w:pPr>
      <w:r>
        <w:rPr>
          <w:rFonts w:ascii="Times New Roman" w:hAnsi="Times New Roman" w:eastAsia="Times New Roman"/>
          <w:b w:val="0"/>
          <w:color w:val="000000"/>
          <w:sz w:val="24"/>
        </w:rPr>
        <w:t>- Key functionalities: product catalog, collections, cart retrieval, order creation, pricing and tax calculation, payment processing, and dashboard administration.</w:t>
      </w:r>
    </w:p>
    <w:p>
      <w:pPr>
        <w:spacing w:after="60"/>
      </w:pPr>
      <w:r>
        <w:rPr>
          <w:rFonts w:ascii="Times New Roman" w:hAnsi="Times New Roman" w:eastAsia="Times New Roman"/>
          <w:b w:val="0"/>
          <w:color w:val="000000"/>
          <w:sz w:val="24"/>
        </w:rPr>
        <w:t>Repository link: https://github.com/Svoppy/QA_drf-api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44"/>
        <w:gridCol w:w="4844"/>
      </w:tblGrid>
      <w:tr>
        <w:tc>
          <w:tcPr>
            <w:tcW w:type="dxa" w:w="484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</w:rPr>
              <w:t>Component</w:t>
            </w:r>
          </w:p>
        </w:tc>
        <w:tc>
          <w:tcPr>
            <w:tcW w:type="dxa" w:w="484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</w:rPr>
              <w:t>Implementation</w:t>
            </w:r>
          </w:p>
        </w:tc>
      </w:tr>
      <w:tr>
        <w:tc>
          <w:tcPr>
            <w:tcW w:type="dxa" w:w="484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Backend framework</w:t>
            </w:r>
          </w:p>
        </w:tc>
        <w:tc>
          <w:tcPr>
            <w:tcW w:type="dxa" w:w="484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Django 4.0.6</w:t>
            </w:r>
          </w:p>
        </w:tc>
      </w:tr>
      <w:tr>
        <w:tc>
          <w:tcPr>
            <w:tcW w:type="dxa" w:w="484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API framework</w:t>
            </w:r>
          </w:p>
        </w:tc>
        <w:tc>
          <w:tcPr>
            <w:tcW w:type="dxa" w:w="484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Django REST Framework 3.13.1</w:t>
            </w:r>
          </w:p>
        </w:tc>
      </w:tr>
      <w:tr>
        <w:tc>
          <w:tcPr>
            <w:tcW w:type="dxa" w:w="484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Database</w:t>
            </w:r>
          </w:p>
        </w:tc>
        <w:tc>
          <w:tcPr>
            <w:tcW w:type="dxa" w:w="484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PostgreSQL</w:t>
            </w:r>
          </w:p>
        </w:tc>
      </w:tr>
      <w:tr>
        <w:tc>
          <w:tcPr>
            <w:tcW w:type="dxa" w:w="484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Containerization</w:t>
            </w:r>
          </w:p>
        </w:tc>
        <w:tc>
          <w:tcPr>
            <w:tcW w:type="dxa" w:w="484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Docker and Docker Compose</w:t>
            </w:r>
          </w:p>
        </w:tc>
      </w:tr>
      <w:tr>
        <w:tc>
          <w:tcPr>
            <w:tcW w:type="dxa" w:w="484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Reverse proxy</w:t>
            </w:r>
          </w:p>
        </w:tc>
        <w:tc>
          <w:tcPr>
            <w:tcW w:type="dxa" w:w="484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Nginx</w:t>
            </w:r>
          </w:p>
        </w:tc>
      </w:tr>
      <w:tr>
        <w:tc>
          <w:tcPr>
            <w:tcW w:type="dxa" w:w="484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Payments</w:t>
            </w:r>
          </w:p>
        </w:tc>
        <w:tc>
          <w:tcPr>
            <w:tcW w:type="dxa" w:w="484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Stripe</w:t>
            </w:r>
          </w:p>
        </w:tc>
      </w:tr>
      <w:tr>
        <w:tc>
          <w:tcPr>
            <w:tcW w:type="dxa" w:w="484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Unit and integration framework</w:t>
            </w:r>
          </w:p>
        </w:tc>
        <w:tc>
          <w:tcPr>
            <w:tcW w:type="dxa" w:w="484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pytest</w:t>
            </w:r>
          </w:p>
        </w:tc>
      </w:tr>
      <w:tr>
        <w:tc>
          <w:tcPr>
            <w:tcW w:type="dxa" w:w="484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Browser automation</w:t>
            </w:r>
          </w:p>
        </w:tc>
        <w:tc>
          <w:tcPr>
            <w:tcW w:type="dxa" w:w="484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Playwright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44"/>
        <w:gridCol w:w="4844"/>
      </w:tblGrid>
      <w:tr>
        <w:tc>
          <w:tcPr>
            <w:tcW w:type="dxa" w:w="484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</w:rPr>
              <w:t>Baseline Metric</w:t>
            </w:r>
          </w:p>
        </w:tc>
        <w:tc>
          <w:tcPr>
            <w:tcW w:type="dxa" w:w="484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</w:rPr>
              <w:t>Value</w:t>
            </w:r>
          </w:p>
        </w:tc>
      </w:tr>
      <w:tr>
        <w:tc>
          <w:tcPr>
            <w:tcW w:type="dxa" w:w="484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Unit tests before midterm</w:t>
            </w:r>
          </w:p>
        </w:tc>
        <w:tc>
          <w:tcPr>
            <w:tcW w:type="dxa" w:w="484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22 passed</w:t>
            </w:r>
          </w:p>
        </w:tc>
      </w:tr>
      <w:tr>
        <w:tc>
          <w:tcPr>
            <w:tcW w:type="dxa" w:w="484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Integration tests before midterm</w:t>
            </w:r>
          </w:p>
        </w:tc>
        <w:tc>
          <w:tcPr>
            <w:tcW w:type="dxa" w:w="484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28 passed</w:t>
            </w:r>
          </w:p>
        </w:tc>
      </w:tr>
      <w:tr>
        <w:tc>
          <w:tcPr>
            <w:tcW w:type="dxa" w:w="484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E2E tests before midterm</w:t>
            </w:r>
          </w:p>
        </w:tc>
        <w:tc>
          <w:tcPr>
            <w:tcW w:type="dxa" w:w="484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5 passed</w:t>
            </w:r>
          </w:p>
        </w:tc>
      </w:tr>
      <w:tr>
        <w:tc>
          <w:tcPr>
            <w:tcW w:type="dxa" w:w="484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Total before midterm</w:t>
            </w:r>
          </w:p>
        </w:tc>
        <w:tc>
          <w:tcPr>
            <w:tcW w:type="dxa" w:w="484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55 passed</w:t>
            </w:r>
          </w:p>
        </w:tc>
      </w:tr>
      <w:tr>
        <w:tc>
          <w:tcPr>
            <w:tcW w:type="dxa" w:w="484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Coverage before midterm</w:t>
            </w:r>
          </w:p>
        </w:tc>
        <w:tc>
          <w:tcPr>
            <w:tcW w:type="dxa" w:w="484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41.00%</w:t>
            </w:r>
          </w:p>
        </w:tc>
      </w:tr>
    </w:tbl>
    <w:p/>
    <w:p>
      <w:pPr>
        <w:spacing w:before="160" w:after="80"/>
      </w:pPr>
      <w:r>
        <w:rPr>
          <w:rFonts w:ascii="Times New Roman" w:hAnsi="Times New Roman" w:eastAsia="Times New Roman"/>
          <w:b/>
          <w:color w:val="000000"/>
          <w:sz w:val="28"/>
        </w:rPr>
        <w:t>2. Methodology</w:t>
      </w:r>
    </w:p>
    <w:p>
      <w:pPr>
        <w:spacing w:after="60"/>
      </w:pPr>
      <w:r>
        <w:rPr>
          <w:rFonts w:ascii="Times New Roman" w:hAnsi="Times New Roman" w:eastAsia="Times New Roman"/>
          <w:b w:val="0"/>
          <w:color w:val="000000"/>
          <w:sz w:val="24"/>
        </w:rPr>
        <w:t>The methodology remained risk-based. High-risk modules from Assignment 1 were re-evaluated using empirical data taken from automation runs, test reports, coverage measurements, and observed defects from Assignment 2 and the current midterm iteration.</w:t>
      </w:r>
    </w:p>
    <w:p>
      <w:pPr>
        <w:spacing w:after="60"/>
      </w:pPr>
      <w:r>
        <w:rPr>
          <w:rFonts w:ascii="Times New Roman" w:hAnsi="Times New Roman" w:eastAsia="Times New Roman"/>
          <w:b w:val="0"/>
          <w:color w:val="000000"/>
          <w:sz w:val="24"/>
        </w:rPr>
        <w:t>- Re-run the completed Assignment 2 suite to confirm the starting baseline.</w:t>
      </w:r>
    </w:p>
    <w:p>
      <w:pPr>
        <w:spacing w:after="60"/>
      </w:pPr>
      <w:r>
        <w:rPr>
          <w:rFonts w:ascii="Times New Roman" w:hAnsi="Times New Roman" w:eastAsia="Times New Roman"/>
          <w:b w:val="0"/>
          <w:color w:val="000000"/>
          <w:sz w:val="24"/>
        </w:rPr>
        <w:t>- Re-evaluate the top 3-5 high-risk modules.</w:t>
      </w:r>
    </w:p>
    <w:p>
      <w:pPr>
        <w:spacing w:after="60"/>
      </w:pPr>
      <w:r>
        <w:rPr>
          <w:rFonts w:ascii="Times New Roman" w:hAnsi="Times New Roman" w:eastAsia="Times New Roman"/>
          <w:b w:val="0"/>
          <w:color w:val="000000"/>
          <w:sz w:val="24"/>
        </w:rPr>
        <w:t>- Extract failed tests, flaky behavior, coverage gaps, and unexpected system behavior from automation evidence.</w:t>
      </w:r>
    </w:p>
    <w:p>
      <w:pPr>
        <w:spacing w:after="60"/>
      </w:pPr>
      <w:r>
        <w:rPr>
          <w:rFonts w:ascii="Times New Roman" w:hAnsi="Times New Roman" w:eastAsia="Times New Roman"/>
          <w:b w:val="0"/>
          <w:color w:val="000000"/>
          <w:sz w:val="24"/>
        </w:rPr>
        <w:t>- Map the evidence to likelihood, impact, and detectability.</w:t>
      </w:r>
    </w:p>
    <w:p>
      <w:pPr>
        <w:spacing w:after="60"/>
      </w:pPr>
      <w:r>
        <w:rPr>
          <w:rFonts w:ascii="Times New Roman" w:hAnsi="Times New Roman" w:eastAsia="Times New Roman"/>
          <w:b w:val="0"/>
          <w:color w:val="000000"/>
          <w:sz w:val="24"/>
        </w:rPr>
        <w:t>- Expand automation with 8 new tests across unit, integration, and E2E levels.</w:t>
      </w:r>
    </w:p>
    <w:p>
      <w:pPr>
        <w:spacing w:before="160" w:after="80"/>
      </w:pPr>
      <w:r>
        <w:rPr>
          <w:rFonts w:ascii="Times New Roman" w:hAnsi="Times New Roman" w:eastAsia="Times New Roman"/>
          <w:b/>
          <w:color w:val="000000"/>
          <w:sz w:val="24"/>
        </w:rPr>
        <w:t>2.1 Re-evaluated High-Risk Components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</w:rPr>
              <w:t>Module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</w:rPr>
              <w:t>Original Risk Score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</w:rPr>
              <w:t>Observed Issues (A2/A3)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</w:rPr>
              <w:t>Updated Risk Score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</w:rPr>
              <w:t>Justification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M1 - Order and Checkout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20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D-004 duplicate-order risk still open; malformed JSON handled with controlled error; module coverage 72.00%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18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Impact remains critical, but detectability improved and no unhandled checkout crash was reproduced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M2 - Stripe Payment Integration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15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New unit tests cover token failure and charge failure rollback; no live payment success-path evidence; module coverage 66.67%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15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Risk remains unchanged because impact is critical and coverage is below 70%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M6 - Data Validation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16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D-005 zip code validation weakness; serializer and negative currency validation now covered; module coverage 81.08%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14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Validation remains important, but detectability improved after added tests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M8 - Tax Calculation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12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D-002 no active GlobalModel crash; D-003 multiple active GlobalModel crash; module coverage 94.74%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16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Empirical evidence showed two real high-severity crash modes in a pricing path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M3 - Cart Management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12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D-001 unknown token returns 200; concurrency test passed; module coverage 54.17%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13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No crash under repeated requests, but detectability remains low</w:t>
            </w:r>
          </w:p>
        </w:tc>
      </w:tr>
    </w:tbl>
    <w:p/>
    <w:p>
      <w:pPr>
        <w:spacing w:before="160" w:after="80"/>
      </w:pPr>
      <w:r>
        <w:rPr>
          <w:rFonts w:ascii="Times New Roman" w:hAnsi="Times New Roman" w:eastAsia="Times New Roman"/>
          <w:b/>
          <w:color w:val="000000"/>
          <w:sz w:val="24"/>
        </w:rPr>
        <w:t>2.2 Evidence from Automation Runs</w:t>
      </w:r>
    </w:p>
    <w:p>
      <w:pPr>
        <w:spacing w:before="160" w:after="80"/>
      </w:pPr>
      <w:r>
        <w:rPr>
          <w:rFonts w:ascii="Times New Roman" w:hAnsi="Times New Roman" w:eastAsia="Times New Roman"/>
          <w:b/>
          <w:color w:val="000000"/>
          <w:sz w:val="24"/>
        </w:rPr>
        <w:t>A. Failed Test Cases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</w:rPr>
              <w:t>Test Name / ID</w:t>
            </w:r>
          </w:p>
        </w:tc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</w:rPr>
              <w:t>Module Affected</w:t>
            </w:r>
          </w:p>
        </w:tc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</w:rPr>
              <w:t>Failure Type</w:t>
            </w:r>
          </w:p>
        </w:tc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</w:rPr>
              <w:t>Frequency</w:t>
            </w:r>
          </w:p>
        </w:tc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</w:rPr>
              <w:t>Evidence Source</w:t>
            </w:r>
          </w:p>
        </w:tc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</w:rPr>
              <w:t>Status</w:t>
            </w:r>
          </w:p>
        </w:tc>
      </w:tr>
      <w:tr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test_valid_login_redirects_away_from_login</w:t>
            </w:r>
          </w:p>
        </w:tc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M7</w:t>
            </w:r>
          </w:p>
        </w:tc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Environment/setup failure</w:t>
            </w:r>
          </w:p>
        </w:tc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1</w:t>
            </w:r>
          </w:p>
        </w:tc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Assignment 2 historical run</w:t>
            </w:r>
          </w:p>
        </w:tc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Fixed in CI by admin user creation</w:t>
            </w:r>
          </w:p>
        </w:tc>
      </w:tr>
      <w:tr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test_dashboard_shows_store_app_models</w:t>
            </w:r>
          </w:p>
        </w:tc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M7</w:t>
            </w:r>
          </w:p>
        </w:tc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Environment/setup failure</w:t>
            </w:r>
          </w:p>
        </w:tc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1</w:t>
            </w:r>
          </w:p>
        </w:tc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Assignment 2 historical run</w:t>
            </w:r>
          </w:p>
        </w:tc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Fixed in CI by admin user creation</w:t>
            </w:r>
          </w:p>
        </w:tc>
      </w:tr>
      <w:tr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TC-MT-E2E-M8-01</w:t>
            </w:r>
          </w:p>
        </w:tc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M8, admin_app</w:t>
            </w:r>
          </w:p>
        </w:tc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Authorization defect</w:t>
            </w:r>
          </w:p>
        </w:tc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1</w:t>
            </w:r>
          </w:p>
        </w:tc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Midterm local run before code fix</w:t>
            </w:r>
          </w:p>
        </w:tc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Fixed</w:t>
            </w:r>
          </w:p>
        </w:tc>
      </w:tr>
      <w:tr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TC-MT-E2E-M1-01</w:t>
            </w:r>
          </w:p>
        </w:tc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M1, admin_app</w:t>
            </w:r>
          </w:p>
        </w:tc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Authorization defect</w:t>
            </w:r>
          </w:p>
        </w:tc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1</w:t>
            </w:r>
          </w:p>
        </w:tc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Midterm local run before code fix</w:t>
            </w:r>
          </w:p>
        </w:tc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Fixed</w:t>
            </w:r>
          </w:p>
        </w:tc>
      </w:tr>
    </w:tbl>
    <w:p/>
    <w:p>
      <w:pPr>
        <w:spacing w:before="160" w:after="80"/>
      </w:pPr>
      <w:r>
        <w:rPr>
          <w:rFonts w:ascii="Times New Roman" w:hAnsi="Times New Roman" w:eastAsia="Times New Roman"/>
          <w:b/>
          <w:color w:val="000000"/>
          <w:sz w:val="24"/>
        </w:rPr>
        <w:t>B. Flaky Tests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</w:rPr>
              <w:t>Test ID</w:t>
            </w:r>
          </w:p>
        </w:tc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</w:rPr>
              <w:t>Runs Observed</w:t>
            </w:r>
          </w:p>
        </w:tc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</w:rPr>
              <w:t>Passes</w:t>
            </w:r>
          </w:p>
        </w:tc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</w:rPr>
              <w:t>Failures</w:t>
            </w:r>
          </w:p>
        </w:tc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</w:rPr>
              <w:t>Flaky</w:t>
            </w:r>
          </w:p>
        </w:tc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</w:rPr>
              <w:t>Suspected Cause</w:t>
            </w:r>
          </w:p>
        </w:tc>
      </w:tr>
      <w:tr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TC-MT-IT-M1-01</w:t>
            </w:r>
          </w:p>
        </w:tc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5</w:t>
            </w:r>
          </w:p>
        </w:tc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5</w:t>
            </w:r>
          </w:p>
        </w:tc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0</w:t>
            </w:r>
          </w:p>
        </w:tc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No</w:t>
            </w:r>
          </w:p>
        </w:tc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None observed</w:t>
            </w:r>
          </w:p>
        </w:tc>
      </w:tr>
      <w:tr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TC-MT-IT-M3-01</w:t>
            </w:r>
          </w:p>
        </w:tc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5</w:t>
            </w:r>
          </w:p>
        </w:tc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5</w:t>
            </w:r>
          </w:p>
        </w:tc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0</w:t>
            </w:r>
          </w:p>
        </w:tc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No</w:t>
            </w:r>
          </w:p>
        </w:tc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None observed</w:t>
            </w:r>
          </w:p>
        </w:tc>
      </w:tr>
      <w:tr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TC-MT-E2E-M8-01</w:t>
            </w:r>
          </w:p>
        </w:tc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5</w:t>
            </w:r>
          </w:p>
        </w:tc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5</w:t>
            </w:r>
          </w:p>
        </w:tc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0</w:t>
            </w:r>
          </w:p>
        </w:tc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No</w:t>
            </w:r>
          </w:p>
        </w:tc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None observed after fix</w:t>
            </w:r>
          </w:p>
        </w:tc>
      </w:tr>
      <w:tr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TC-MT-E2E-M1-01</w:t>
            </w:r>
          </w:p>
        </w:tc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5</w:t>
            </w:r>
          </w:p>
        </w:tc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5</w:t>
            </w:r>
          </w:p>
        </w:tc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0</w:t>
            </w:r>
          </w:p>
        </w:tc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No</w:t>
            </w:r>
          </w:p>
        </w:tc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None observed after fix</w:t>
            </w:r>
          </w:p>
        </w:tc>
      </w:tr>
    </w:tbl>
    <w:p/>
    <w:p>
      <w:pPr>
        <w:spacing w:before="160" w:after="80"/>
      </w:pPr>
      <w:r>
        <w:rPr>
          <w:rFonts w:ascii="Times New Roman" w:hAnsi="Times New Roman" w:eastAsia="Times New Roman"/>
          <w:b/>
          <w:color w:val="000000"/>
          <w:sz w:val="24"/>
        </w:rPr>
        <w:t>C. Coverage Gaps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</w:rPr>
              <w:t>Module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</w:rPr>
              <w:t>Measured Coverage %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</w:rPr>
              <w:t>Threshold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</w:rPr>
              <w:t>Status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</w:rPr>
              <w:t>Untested Functions / Endpoints / Components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M1 - Order and Checkout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72.00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70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Pass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Paid order success path with real cart; full idempotency behavior with valid cart; production cost and profit branch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M2 - Stripe Payment Integration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66.67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70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Below threshold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Live Stripe success path; payment persistence branch; refund and webhook behavior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M6 - Data Validation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81.08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70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Pass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Some serializer and view combinations remain indirectly covered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M8 - Tax Calculation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94.74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70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Pass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No major gap found in current measurable unit path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M3 - Cart Management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54.17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70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Below threshold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Variation update and delete path; cart serializer nested branches; alternate retrieval branches</w:t>
            </w:r>
          </w:p>
        </w:tc>
      </w:tr>
    </w:tbl>
    <w:p/>
    <w:p>
      <w:pPr>
        <w:spacing w:before="160" w:after="80"/>
      </w:pPr>
      <w:r>
        <w:rPr>
          <w:rFonts w:ascii="Times New Roman" w:hAnsi="Times New Roman" w:eastAsia="Times New Roman"/>
          <w:b/>
          <w:color w:val="000000"/>
          <w:sz w:val="24"/>
        </w:rPr>
        <w:t>D. Unexpected System Behavior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</w:rPr>
              <w:t>ID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</w:rPr>
              <w:t>Module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</w:rPr>
              <w:t>Observation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</w:rPr>
              <w:t>Predicted in Assignment 1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</w:rPr>
              <w:t>Status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D-001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M3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Unknown cart token returns 200 instead of a clear missing-cart response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Partially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Open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D-006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M7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Fresh environment lacked admin user, causing E2E authentication flow failure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No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Fixed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MT-DEF-01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M1, M8, admin_app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Anonymous user could access dashboard pages without login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No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Fixed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PERF-01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Whole suite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No performance anomaly observed in repeated midterm runs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No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Observed stable</w:t>
            </w:r>
          </w:p>
        </w:tc>
      </w:tr>
    </w:tbl>
    <w:p/>
    <w:p>
      <w:pPr>
        <w:spacing w:before="160" w:after="80"/>
      </w:pPr>
      <w:r>
        <w:rPr>
          <w:rFonts w:ascii="Times New Roman" w:hAnsi="Times New Roman" w:eastAsia="Times New Roman"/>
          <w:b/>
          <w:color w:val="000000"/>
          <w:sz w:val="24"/>
        </w:rPr>
        <w:t>2.3 Mapping Evidence to Risk Dimensions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</w:rPr>
              <w:t>Module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</w:rPr>
              <w:t>Likelihood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</w:rPr>
              <w:t>Impact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</w:rPr>
              <w:t>Detectability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</w:rPr>
              <w:t>Evidence Basis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M1 - Order and Checkout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Medium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Very High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Medium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Open duplicate-order risk, stable negative-path tests, 72.00% module coverage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M2 - Stripe Payment Integration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Medium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Very High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Medium-Low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Failure paths covered, but live payment success and refund behavior remain unverified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M6 - Data Validation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Medium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High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High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Added serializer and field validation tests, 81.08% module coverage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M8 - Tax Calculation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High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Very High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High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Two confirmed crash modes and 94.74% measurable coverage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M3 - Cart Management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Medium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High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Low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54.17% module coverage and unresolved unknown-token behavior</w:t>
            </w:r>
          </w:p>
        </w:tc>
      </w:tr>
    </w:tbl>
    <w:p/>
    <w:p>
      <w:pPr>
        <w:spacing w:before="160" w:after="80"/>
      </w:pPr>
      <w:r>
        <w:rPr>
          <w:rFonts w:ascii="Times New Roman" w:hAnsi="Times New Roman" w:eastAsia="Times New Roman"/>
          <w:b/>
          <w:color w:val="000000"/>
          <w:sz w:val="28"/>
        </w:rPr>
        <w:t>3. Automation Implementation</w:t>
      </w:r>
    </w:p>
    <w:p>
      <w:pPr>
        <w:spacing w:after="60"/>
      </w:pPr>
      <w:r>
        <w:rPr>
          <w:rFonts w:ascii="Times New Roman" w:hAnsi="Times New Roman" w:eastAsia="Times New Roman"/>
          <w:b w:val="0"/>
          <w:color w:val="000000"/>
          <w:sz w:val="24"/>
        </w:rPr>
        <w:t>The automation suite was extended strictly across the three required levels: unit, integration, and end-to-end. The pipeline remained GitHub Actions.</w:t>
      </w:r>
    </w:p>
    <w:p>
      <w:pPr>
        <w:spacing w:before="160" w:after="80"/>
      </w:pPr>
      <w:r>
        <w:rPr>
          <w:rFonts w:ascii="Times New Roman" w:hAnsi="Times New Roman" w:eastAsia="Times New Roman"/>
          <w:b/>
          <w:color w:val="000000"/>
          <w:sz w:val="24"/>
        </w:rPr>
        <w:t>3.1 CI/CD Setup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</w:rPr>
              <w:t>Stage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</w:rPr>
              <w:t>Trigger / Dependency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</w:rPr>
              <w:t>Main Actions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</w:rPr>
              <w:t>Quality Gate / Output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Unit Tests + Coverage Gate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Every push or pull request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Install dependencies, run pytest tests/unit with coverage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100% pass and coverage artifact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Integration Tests (Docker SUT)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After unit stage passes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Create .env, start Docker, wait for health, run tests/integration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100% pass and integration JUnit artifact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E2E Tests (Playwright Chromium)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After integration stage passes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Create admin user, install Chromium, run tests/e2e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100% pass and E2E JUnit artifact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CD - Push Docker image to GHCR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Push to main after all tests pass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Build and push image to GHCR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Deployment artifact</w:t>
            </w:r>
          </w:p>
        </w:tc>
      </w:tr>
    </w:tbl>
    <w:p/>
    <w:p>
      <w:pPr>
        <w:spacing w:before="160" w:after="80"/>
      </w:pPr>
      <w:r>
        <w:rPr>
          <w:rFonts w:ascii="Times New Roman" w:hAnsi="Times New Roman" w:eastAsia="Times New Roman"/>
          <w:b/>
          <w:color w:val="000000"/>
          <w:sz w:val="24"/>
        </w:rPr>
        <w:t>3.2 Test Structure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</w:rPr>
              <w:t>Layer</w:t>
            </w:r>
          </w:p>
        </w:tc>
        <w:tc>
          <w:tcPr>
            <w:tcW w:type="dxa" w:w="3230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</w:rPr>
              <w:t>Framework / Tool</w:t>
            </w:r>
          </w:p>
        </w:tc>
        <w:tc>
          <w:tcPr>
            <w:tcW w:type="dxa" w:w="3230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</w:rPr>
              <w:t>Scope</w:t>
            </w:r>
          </w:p>
        </w:tc>
      </w:tr>
      <w:tr>
        <w:tc>
          <w:tcPr>
            <w:tcW w:type="dxa" w:w="3230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Unit</w:t>
            </w:r>
          </w:p>
        </w:tc>
        <w:tc>
          <w:tcPr>
            <w:tcW w:type="dxa" w:w="3230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pytest + pytest-django</w:t>
            </w:r>
          </w:p>
        </w:tc>
        <w:tc>
          <w:tcPr>
            <w:tcW w:type="dxa" w:w="3230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Model logic, serializer validation, Stripe failure-path rollback</w:t>
            </w:r>
          </w:p>
        </w:tc>
      </w:tr>
      <w:tr>
        <w:tc>
          <w:tcPr>
            <w:tcW w:type="dxa" w:w="3230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Integration</w:t>
            </w:r>
          </w:p>
        </w:tc>
        <w:tc>
          <w:tcPr>
            <w:tcW w:type="dxa" w:w="3230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pytest + requests</w:t>
            </w:r>
          </w:p>
        </w:tc>
        <w:tc>
          <w:tcPr>
            <w:tcW w:type="dxa" w:w="3230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HTTP endpoints, malformed input handling, concurrency behavior</w:t>
            </w:r>
          </w:p>
        </w:tc>
      </w:tr>
      <w:tr>
        <w:tc>
          <w:tcPr>
            <w:tcW w:type="dxa" w:w="3230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E2E</w:t>
            </w:r>
          </w:p>
        </w:tc>
        <w:tc>
          <w:tcPr>
            <w:tcW w:type="dxa" w:w="3230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pytest-playwright</w:t>
            </w:r>
          </w:p>
        </w:tc>
        <w:tc>
          <w:tcPr>
            <w:tcW w:type="dxa" w:w="3230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Browser-level access control and dashboard flow verification</w:t>
            </w:r>
          </w:p>
        </w:tc>
      </w:tr>
    </w:tbl>
    <w:p/>
    <w:p>
      <w:pPr>
        <w:spacing w:before="160" w:after="80"/>
      </w:pPr>
      <w:r>
        <w:rPr>
          <w:rFonts w:ascii="Times New Roman" w:hAnsi="Times New Roman" w:eastAsia="Times New Roman"/>
          <w:b/>
          <w:color w:val="000000"/>
          <w:sz w:val="24"/>
        </w:rPr>
        <w:t>3.3 Quality Gates Definition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</w:rPr>
              <w:t>Gate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</w:rPr>
              <w:t>Threshold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</w:rPr>
              <w:t>Current Result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</w:rPr>
              <w:t>Evaluation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Test pass rate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100%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63/63 passed locally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Appropriate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Total coverage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70%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74.41%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Appropriate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High-risk module coverage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70%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M2 = 66.67%, M3 = 54.17%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Strict but useful because it exposes real gaps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Critical failures allowed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0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0 open blocking failures after fixes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Appropriate</w:t>
            </w:r>
          </w:p>
        </w:tc>
      </w:tr>
    </w:tbl>
    <w:p/>
    <w:p>
      <w:pPr>
        <w:spacing w:before="160" w:after="80"/>
      </w:pPr>
      <w:r>
        <w:rPr>
          <w:rFonts w:ascii="Times New Roman" w:hAnsi="Times New Roman" w:eastAsia="Times New Roman"/>
          <w:b/>
          <w:color w:val="000000"/>
          <w:sz w:val="24"/>
        </w:rPr>
        <w:t>3.4 New Midterm Test Cases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</w:rPr>
              <w:t>Test ID</w:t>
            </w:r>
          </w:p>
        </w:tc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</w:rPr>
              <w:t>Target Module</w:t>
            </w:r>
          </w:p>
        </w:tc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</w:rPr>
              <w:t>Scenario Type</w:t>
            </w:r>
          </w:p>
        </w:tc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</w:rPr>
              <w:t>Input Data</w:t>
            </w:r>
          </w:p>
        </w:tc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</w:rPr>
              <w:t>Expected Output</w:t>
            </w:r>
          </w:p>
        </w:tc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</w:rPr>
              <w:t>Actual Result</w:t>
            </w:r>
          </w:p>
        </w:tc>
      </w:tr>
      <w:tr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TC-MT-UT-M2-01</w:t>
            </w:r>
          </w:p>
        </w:tc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M2, M1</w:t>
            </w:r>
          </w:p>
        </w:tc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Failure</w:t>
            </w:r>
          </w:p>
        </w:tc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Valid order payload; stripe.Token.create mocked to raise AuthenticationError</w:t>
            </w:r>
          </w:p>
        </w:tc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HTTP 400, payment error message, no Order or Payment saved</w:t>
            </w:r>
          </w:p>
        </w:tc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Observed HTTP 400 with rollback; test passed</w:t>
            </w:r>
          </w:p>
        </w:tc>
      </w:tr>
      <w:tr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TC-MT-UT-M2-02</w:t>
            </w:r>
          </w:p>
        </w:tc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M2, M1</w:t>
            </w:r>
          </w:p>
        </w:tc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Failure</w:t>
            </w:r>
          </w:p>
        </w:tc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Valid order payload; stripe.Token.create succeeds; stripe.Charge.create mocked to raise APIConnectionError</w:t>
            </w:r>
          </w:p>
        </w:tc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HTTP 400, payment error message, no Order or Payment saved</w:t>
            </w:r>
          </w:p>
        </w:tc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Observed HTTP 400 with rollback; test passed</w:t>
            </w:r>
          </w:p>
        </w:tc>
      </w:tr>
      <w:tr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TC-MT-UT-M6-01</w:t>
            </w:r>
          </w:p>
        </w:tc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M6</w:t>
            </w:r>
          </w:p>
        </w:tc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Edge</w:t>
            </w:r>
          </w:p>
        </w:tc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AddressSerializer input with zip_code = 123456</w:t>
            </w:r>
          </w:p>
        </w:tc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Serializer invalid; zip_code validation error returned</w:t>
            </w:r>
          </w:p>
        </w:tc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zip_code error observed; test passed</w:t>
            </w:r>
          </w:p>
        </w:tc>
      </w:tr>
      <w:tr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TC-MT-UT-M6-02</w:t>
            </w:r>
          </w:p>
        </w:tc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M6</w:t>
            </w:r>
          </w:p>
        </w:tc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Invalid input</w:t>
            </w:r>
          </w:p>
        </w:tc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GlobalModel with mx_value = -1.0000</w:t>
            </w:r>
          </w:p>
        </w:tc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ValidationError on mx_value</w:t>
            </w:r>
          </w:p>
        </w:tc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ValidationError observed; test passed</w:t>
            </w:r>
          </w:p>
        </w:tc>
      </w:tr>
      <w:tr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TC-MT-IT-M1-01</w:t>
            </w:r>
          </w:p>
        </w:tc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M1</w:t>
            </w:r>
          </w:p>
        </w:tc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Failure</w:t>
            </w:r>
          </w:p>
        </w:tc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POST /store/orders/ with malformed JSON body</w:t>
            </w:r>
          </w:p>
        </w:tc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Controlled client error, not HTTP 500</w:t>
            </w:r>
          </w:p>
        </w:tc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Controlled client error observed; test passed</w:t>
            </w:r>
          </w:p>
        </w:tc>
      </w:tr>
      <w:tr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TC-MT-IT-M3-01</w:t>
            </w:r>
          </w:p>
        </w:tc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M3</w:t>
            </w:r>
          </w:p>
        </w:tc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Concurrency</w:t>
            </w:r>
          </w:p>
        </w:tc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Five parallel GET requests to /store/cart/&lt;same_token&gt;/</w:t>
            </w:r>
          </w:p>
        </w:tc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Only controlled responses; no HTTP 500</w:t>
            </w:r>
          </w:p>
        </w:tc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Parallel requests completed without HTTP 500; test passed</w:t>
            </w:r>
          </w:p>
        </w:tc>
      </w:tr>
      <w:tr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TC-MT-E2E-M8-01</w:t>
            </w:r>
          </w:p>
        </w:tc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M8, admin_app</w:t>
            </w:r>
          </w:p>
        </w:tc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Invalid user behavior</w:t>
            </w:r>
          </w:p>
        </w:tc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Anonymous browser navigation to /dashboard/global-configs/</w:t>
            </w:r>
          </w:p>
        </w:tc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Redirect to /dashboard/accounts/login/</w:t>
            </w:r>
          </w:p>
        </w:tc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Redirect observed after fix; test passed</w:t>
            </w:r>
          </w:p>
        </w:tc>
      </w:tr>
      <w:tr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TC-MT-E2E-M1-01</w:t>
            </w:r>
          </w:p>
        </w:tc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M1, admin_app</w:t>
            </w:r>
          </w:p>
        </w:tc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Invalid user behavior</w:t>
            </w:r>
          </w:p>
        </w:tc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Anonymous browser navigation to /dashboard/orders/</w:t>
            </w:r>
          </w:p>
        </w:tc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Redirect to /dashboard/accounts/login/</w:t>
            </w:r>
          </w:p>
        </w:tc>
        <w:tc>
          <w:tcPr>
            <w:tcW w:type="dxa" w:w="1615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Redirect observed after fix; test passed</w:t>
            </w:r>
          </w:p>
        </w:tc>
      </w:tr>
    </w:tbl>
    <w:p/>
    <w:p>
      <w:pPr>
        <w:spacing w:before="160" w:after="80"/>
      </w:pPr>
      <w:r>
        <w:rPr>
          <w:rFonts w:ascii="Times New Roman" w:hAnsi="Times New Roman" w:eastAsia="Times New Roman"/>
          <w:b/>
          <w:color w:val="000000"/>
          <w:sz w:val="24"/>
        </w:rPr>
        <w:t>3.5 Evidence Links and Test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44"/>
        <w:gridCol w:w="4844"/>
      </w:tblGrid>
      <w:tr>
        <w:tc>
          <w:tcPr>
            <w:tcW w:type="dxa" w:w="484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</w:rPr>
              <w:t>Artifact</w:t>
            </w:r>
          </w:p>
        </w:tc>
        <w:tc>
          <w:tcPr>
            <w:tcW w:type="dxa" w:w="484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</w:rPr>
              <w:t>Link or Location</w:t>
            </w:r>
          </w:p>
        </w:tc>
      </w:tr>
      <w:tr>
        <w:tc>
          <w:tcPr>
            <w:tcW w:type="dxa" w:w="484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Repository</w:t>
            </w:r>
          </w:p>
        </w:tc>
        <w:tc>
          <w:tcPr>
            <w:tcW w:type="dxa" w:w="484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https://github.com/Svoppy/QA_drf-api</w:t>
            </w:r>
          </w:p>
        </w:tc>
      </w:tr>
      <w:tr>
        <w:tc>
          <w:tcPr>
            <w:tcW w:type="dxa" w:w="484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Workflow file</w:t>
            </w:r>
          </w:p>
        </w:tc>
        <w:tc>
          <w:tcPr>
            <w:tcW w:type="dxa" w:w="484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https://github.com/Svoppy/QA_drf-api/blob/main/.github/workflows/ci.yml</w:t>
            </w:r>
          </w:p>
        </w:tc>
      </w:tr>
      <w:tr>
        <w:tc>
          <w:tcPr>
            <w:tcW w:type="dxa" w:w="484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Pipeline run</w:t>
            </w:r>
          </w:p>
        </w:tc>
        <w:tc>
          <w:tcPr>
            <w:tcW w:type="dxa" w:w="484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https://github.com/Svoppy/QA_drf-api/actions/runs/24211718046</w:t>
            </w:r>
          </w:p>
        </w:tc>
      </w:tr>
      <w:tr>
        <w:tc>
          <w:tcPr>
            <w:tcW w:type="dxa" w:w="484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Unit tests</w:t>
            </w:r>
          </w:p>
        </w:tc>
        <w:tc>
          <w:tcPr>
            <w:tcW w:type="dxa" w:w="484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tests/unit/test_midterm_order_failures.py and tests/unit/test_midterm_validation.py</w:t>
            </w:r>
          </w:p>
        </w:tc>
      </w:tr>
      <w:tr>
        <w:tc>
          <w:tcPr>
            <w:tcW w:type="dxa" w:w="484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Integration tests</w:t>
            </w:r>
          </w:p>
        </w:tc>
        <w:tc>
          <w:tcPr>
            <w:tcW w:type="dxa" w:w="484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tests/integration/test_midterm_resilience.py</w:t>
            </w:r>
          </w:p>
        </w:tc>
      </w:tr>
      <w:tr>
        <w:tc>
          <w:tcPr>
            <w:tcW w:type="dxa" w:w="484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E2E tests</w:t>
            </w:r>
          </w:p>
        </w:tc>
        <w:tc>
          <w:tcPr>
            <w:tcW w:type="dxa" w:w="484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tests/e2e/test_midterm_dashboard_access.py</w:t>
            </w:r>
          </w:p>
        </w:tc>
      </w:tr>
      <w:tr>
        <w:tc>
          <w:tcPr>
            <w:tcW w:type="dxa" w:w="484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Fixed application file</w:t>
            </w:r>
          </w:p>
        </w:tc>
        <w:tc>
          <w:tcPr>
            <w:tcW w:type="dxa" w:w="484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sut/habaneras-de-lino-drf-api/admin_app/views.py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44"/>
        <w:gridCol w:w="4844"/>
      </w:tblGrid>
      <w:tr>
        <w:tc>
          <w:tcPr>
            <w:tcW w:type="dxa" w:w="484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</w:rPr>
              <w:t>Test ID</w:t>
            </w:r>
          </w:p>
        </w:tc>
        <w:tc>
          <w:tcPr>
            <w:tcW w:type="dxa" w:w="484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</w:rPr>
              <w:t>System Behavior Verified</w:t>
            </w:r>
          </w:p>
        </w:tc>
      </w:tr>
      <w:tr>
        <w:tc>
          <w:tcPr>
            <w:tcW w:type="dxa" w:w="484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TC-MT-UT-M2-01</w:t>
            </w:r>
          </w:p>
        </w:tc>
        <w:tc>
          <w:tcPr>
            <w:tcW w:type="dxa" w:w="484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Order payment token failure is handled without leaving partial persistence</w:t>
            </w:r>
          </w:p>
        </w:tc>
      </w:tr>
      <w:tr>
        <w:tc>
          <w:tcPr>
            <w:tcW w:type="dxa" w:w="484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TC-MT-UT-M2-02</w:t>
            </w:r>
          </w:p>
        </w:tc>
        <w:tc>
          <w:tcPr>
            <w:tcW w:type="dxa" w:w="484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Charge failure branch rolls back the order creation path cleanly</w:t>
            </w:r>
          </w:p>
        </w:tc>
      </w:tr>
      <w:tr>
        <w:tc>
          <w:tcPr>
            <w:tcW w:type="dxa" w:w="484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TC-MT-UT-M6-01</w:t>
            </w:r>
          </w:p>
        </w:tc>
        <w:tc>
          <w:tcPr>
            <w:tcW w:type="dxa" w:w="484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Address validation blocks oversized postal codes at serializer level</w:t>
            </w:r>
          </w:p>
        </w:tc>
      </w:tr>
      <w:tr>
        <w:tc>
          <w:tcPr>
            <w:tcW w:type="dxa" w:w="484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TC-MT-UT-M6-02</w:t>
            </w:r>
          </w:p>
        </w:tc>
        <w:tc>
          <w:tcPr>
            <w:tcW w:type="dxa" w:w="484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Negative currency configuration is rejected by model validation</w:t>
            </w:r>
          </w:p>
        </w:tc>
      </w:tr>
      <w:tr>
        <w:tc>
          <w:tcPr>
            <w:tcW w:type="dxa" w:w="484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TC-MT-IT-M1-01</w:t>
            </w:r>
          </w:p>
        </w:tc>
        <w:tc>
          <w:tcPr>
            <w:tcW w:type="dxa" w:w="484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Orders endpoint returns controlled client error for malformed JSON</w:t>
            </w:r>
          </w:p>
        </w:tc>
      </w:tr>
      <w:tr>
        <w:tc>
          <w:tcPr>
            <w:tcW w:type="dxa" w:w="484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TC-MT-IT-M3-01</w:t>
            </w:r>
          </w:p>
        </w:tc>
        <w:tc>
          <w:tcPr>
            <w:tcW w:type="dxa" w:w="484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Cart endpoint remains stable under parallel requests for the same token</w:t>
            </w:r>
          </w:p>
        </w:tc>
      </w:tr>
      <w:tr>
        <w:tc>
          <w:tcPr>
            <w:tcW w:type="dxa" w:w="484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TC-MT-E2E-M8-01</w:t>
            </w:r>
          </w:p>
        </w:tc>
        <w:tc>
          <w:tcPr>
            <w:tcW w:type="dxa" w:w="484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Restricted dashboard global configuration pages require authentication</w:t>
            </w:r>
          </w:p>
        </w:tc>
      </w:tr>
      <w:tr>
        <w:tc>
          <w:tcPr>
            <w:tcW w:type="dxa" w:w="484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TC-MT-E2E-M1-01</w:t>
            </w:r>
          </w:p>
        </w:tc>
        <w:tc>
          <w:tcPr>
            <w:tcW w:type="dxa" w:w="484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Restricted dashboard order pages require authentication</w:t>
            </w:r>
          </w:p>
        </w:tc>
      </w:tr>
    </w:tbl>
    <w:p/>
    <w:p>
      <w:pPr>
        <w:spacing w:before="160" w:after="80"/>
      </w:pPr>
      <w:r>
        <w:rPr>
          <w:rFonts w:ascii="Times New Roman" w:hAnsi="Times New Roman" w:eastAsia="Times New Roman"/>
          <w:b/>
          <w:color w:val="000000"/>
          <w:sz w:val="28"/>
        </w:rPr>
        <w:t>4. Results</w:t>
      </w:r>
    </w:p>
    <w:p>
      <w:pPr>
        <w:spacing w:before="160" w:after="80"/>
      </w:pPr>
      <w:r>
        <w:rPr>
          <w:rFonts w:ascii="Times New Roman" w:hAnsi="Times New Roman" w:eastAsia="Times New Roman"/>
          <w:b/>
          <w:color w:val="000000"/>
          <w:sz w:val="24"/>
        </w:rPr>
        <w:t>4.1 Metrics Tables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</w:rPr>
              <w:t>Metric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</w:rPr>
              <w:t>Before Midterm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</w:rPr>
              <w:t>After Current Midterm Iteration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</w:rPr>
              <w:t>Change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Unit tests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22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26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+4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Integration tests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28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30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+2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E2E tests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5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7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+2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Total automated tests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55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63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+8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Total coverage (store_app)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41.00%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74.41%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+33.41 pp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Unit runtime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2.18s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1.77s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-0.41s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Integration runtime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1.11s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1.15s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+0.04s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E2E runtime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5.82s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9.17s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+3.35s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Total local runtime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9.11s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12.09s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+2.98s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</w:rPr>
              <w:t>Module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</w:rPr>
              <w:t>Risk Level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</w:rPr>
              <w:t>Defects Found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</w:rPr>
              <w:t>Current Count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M1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Critical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D-004, MT-DEF-01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2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M2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Critical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No live defect reproduced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0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M6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Critical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D-005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1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M8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High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D-002, D-003, MT-DEF-01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3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M3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High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D-001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1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M7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Medium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D-006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1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</w:rPr>
              <w:t>Pipeline Element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</w:rPr>
              <w:t>Started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</w:rPr>
              <w:t>Completed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</w:rPr>
              <w:t>Duration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</w:rPr>
              <w:t>Status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Workflow run #13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2026-04-09 20:27:38 UTC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2026-04-09 20:32:18 UTC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4m 40s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Success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Unit Tests + Coverage Gate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20:27:42 UTC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20:28:22 UTC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40s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Success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Integration Tests (Docker SUT)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20:28:26 UTC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20:30:02 UTC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1m 36s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Success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E2E Tests (Playwright Chromium)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20:30:06 UTC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20:32:17 UTC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2m 11s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Success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CD - Push Docker image to GHCR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20:32:17 UTC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20:32:17 UTC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0s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Skipped on pull_request</w:t>
            </w:r>
          </w:p>
        </w:tc>
      </w:tr>
    </w:tbl>
    <w:p/>
    <w:p>
      <w:pPr>
        <w:spacing w:before="160" w:after="80"/>
      </w:pPr>
      <w:r>
        <w:rPr>
          <w:rFonts w:ascii="Times New Roman" w:hAnsi="Times New Roman" w:eastAsia="Times New Roman"/>
          <w:b/>
          <w:color w:val="000000"/>
          <w:sz w:val="24"/>
        </w:rPr>
        <w:t>4.2 Graphs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2562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_cover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562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color w:val="000000"/>
          <w:sz w:val="24"/>
        </w:rPr>
        <w:t>Figure 1. Coverage by high-risk module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25629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_defect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562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color w:val="000000"/>
          <w:sz w:val="24"/>
        </w:rPr>
        <w:t>Figure 2. Detected defects by module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25629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_runtim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562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color w:val="000000"/>
          <w:sz w:val="24"/>
        </w:rPr>
        <w:t>Figure 3. Execution time before vs after midterm</w:t>
      </w:r>
    </w:p>
    <w:p>
      <w:pPr>
        <w:spacing w:before="160" w:after="80"/>
      </w:pPr>
      <w:r>
        <w:rPr>
          <w:rFonts w:ascii="Times New Roman" w:hAnsi="Times New Roman" w:eastAsia="Times New Roman"/>
          <w:b/>
          <w:color w:val="000000"/>
          <w:sz w:val="24"/>
        </w:rPr>
        <w:t>4.3 Pipeline Screenshots and Logs</w:t>
      </w:r>
    </w:p>
    <w:p>
      <w:pPr>
        <w:spacing w:after="60"/>
      </w:pPr>
      <w:r>
        <w:rPr>
          <w:rFonts w:ascii="Times New Roman" w:hAnsi="Times New Roman" w:eastAsia="Times New Roman"/>
          <w:b w:val="0"/>
          <w:color w:val="000000"/>
          <w:sz w:val="24"/>
        </w:rPr>
        <w:t>Pipeline run URL: https://github.com/Svoppy/QA_drf-api/actions/runs/24211718046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94488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peline_run_curren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944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color w:val="000000"/>
          <w:sz w:val="24"/>
        </w:rPr>
        <w:t>Figure 4. GitHub Actions pipeline run #12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94488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peline_job_unit_curren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944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color w:val="000000"/>
          <w:sz w:val="24"/>
        </w:rPr>
        <w:t>Figure 5. Unit job page from pipeline run #12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44"/>
        <w:gridCol w:w="4844"/>
      </w:tblGrid>
      <w:tr>
        <w:tc>
          <w:tcPr>
            <w:tcW w:type="dxa" w:w="484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</w:rPr>
              <w:t>Source</w:t>
            </w:r>
          </w:p>
        </w:tc>
        <w:tc>
          <w:tcPr>
            <w:tcW w:type="dxa" w:w="484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</w:rPr>
              <w:t>Evidence</w:t>
            </w:r>
          </w:p>
        </w:tc>
      </w:tr>
      <w:tr>
        <w:tc>
          <w:tcPr>
            <w:tcW w:type="dxa" w:w="484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GitHub Actions run #13</w:t>
            </w:r>
          </w:p>
        </w:tc>
        <w:tc>
          <w:tcPr>
            <w:tcW w:type="dxa" w:w="484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Run status = completed, conclusion = success, artifacts = coverage-report, integration-test-results, e2e-test-results</w:t>
            </w:r>
          </w:p>
        </w:tc>
      </w:tr>
      <w:tr>
        <w:tc>
          <w:tcPr>
            <w:tcW w:type="dxa" w:w="484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integration-results.xml</w:t>
            </w:r>
          </w:p>
        </w:tc>
        <w:tc>
          <w:tcPr>
            <w:tcW w:type="dxa" w:w="484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tests="28" failures="0" time="1.117"</w:t>
            </w:r>
          </w:p>
        </w:tc>
      </w:tr>
      <w:tr>
        <w:tc>
          <w:tcPr>
            <w:tcW w:type="dxa" w:w="484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e2e-results.xml</w:t>
            </w:r>
          </w:p>
        </w:tc>
        <w:tc>
          <w:tcPr>
            <w:tcW w:type="dxa" w:w="484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tests="5" failures="0" time="5.818"</w:t>
            </w:r>
          </w:p>
        </w:tc>
      </w:tr>
      <w:tr>
        <w:tc>
          <w:tcPr>
            <w:tcW w:type="dxa" w:w="484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Midterm local suite</w:t>
            </w:r>
          </w:p>
        </w:tc>
        <w:tc>
          <w:tcPr>
            <w:tcW w:type="dxa" w:w="484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26 unit, 30 integration, 7 E2E, total 63 automated tests, total coverage 74.41%</w:t>
            </w:r>
          </w:p>
        </w:tc>
      </w:tr>
    </w:tbl>
    <w:p/>
    <w:p>
      <w:pPr>
        <w:spacing w:before="160" w:after="80"/>
      </w:pPr>
      <w:r>
        <w:rPr>
          <w:rFonts w:ascii="Times New Roman" w:hAnsi="Times New Roman" w:eastAsia="Times New Roman"/>
          <w:b/>
          <w:color w:val="000000"/>
          <w:sz w:val="24"/>
        </w:rPr>
        <w:t>4.4 Planned vs Actual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</w:rPr>
              <w:t>Aspect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</w:rPr>
              <w:t>Planned (A1)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</w:rPr>
              <w:t>Actual (A2/A3)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</w:rPr>
              <w:t>Gap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Coverage target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60% overall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41% in A2, 74.41% after midterm iteration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A2 missed the target; midterm iteration exceeded it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Stripe automation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Mocks or test keys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Only mock-based failure-path coverage added so far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Success path and refund flow remain missing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Cart lifecycle depth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Full create, add, retrieve, checkout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Retrieval and resilience covered; checkout-linked cart path remains shallow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Partial fulfillment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Admin access coverage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Admin smoke only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Midterm found and fixed anonymous dashboard access defect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Scope expanded beyond original plan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Pipeline evidence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CI on every commit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Workflow exists and successful PR run #13 is documented for the current midterm snapshot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Current report includes matching pipeline evidence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Defect expectation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Highest-risk modules should yield most defects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Highest-risk modules did yield most defects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Planning assumption confirmed</w:t>
            </w:r>
          </w:p>
        </w:tc>
      </w:tr>
    </w:tbl>
    <w:p/>
    <w:p>
      <w:pPr>
        <w:spacing w:before="160" w:after="80"/>
      </w:pPr>
      <w:r>
        <w:rPr>
          <w:rFonts w:ascii="Times New Roman" w:hAnsi="Times New Roman" w:eastAsia="Times New Roman"/>
          <w:b/>
          <w:color w:val="000000"/>
          <w:sz w:val="28"/>
        </w:rPr>
        <w:t>5. Discussion</w:t>
      </w:r>
    </w:p>
    <w:p>
      <w:pPr>
        <w:spacing w:after="60"/>
      </w:pPr>
      <w:r>
        <w:rPr>
          <w:rFonts w:ascii="Times New Roman" w:hAnsi="Times New Roman" w:eastAsia="Times New Roman"/>
          <w:b w:val="0"/>
          <w:color w:val="000000"/>
          <w:sz w:val="24"/>
        </w:rPr>
        <w:t>The midterm iteration improved detectability and evidence quality, but it also showed that some planning assumptions from Assignment 1 and Assignment 2 were incomplete.</w:t>
      </w:r>
    </w:p>
    <w:p>
      <w:pPr>
        <w:spacing w:before="160" w:after="80"/>
      </w:pPr>
      <w:r>
        <w:rPr>
          <w:rFonts w:ascii="Times New Roman" w:hAnsi="Times New Roman" w:eastAsia="Times New Roman"/>
          <w:b/>
          <w:color w:val="000000"/>
          <w:sz w:val="24"/>
        </w:rPr>
        <w:t>5.1 Quality Gate Evaluation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</w:rPr>
              <w:t>Gate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</w:rPr>
              <w:t>Threshold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</w:rPr>
              <w:t>Current Result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</w:rPr>
              <w:t>Evaluation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Test pass rate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100%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63/63 passed locally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Appropriate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Total coverage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70%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74.41%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Appropriate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High-risk module coverage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70%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M2 = 66.67%, M3 = 54.17%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Strict but useful because it exposes real gaps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Critical failures allowed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0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0 open blocking failures after fixes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Appropriate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44"/>
        <w:gridCol w:w="4844"/>
      </w:tblGrid>
      <w:tr>
        <w:tc>
          <w:tcPr>
            <w:tcW w:type="dxa" w:w="484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</w:rPr>
              <w:t>Question</w:t>
            </w:r>
          </w:p>
        </w:tc>
        <w:tc>
          <w:tcPr>
            <w:tcW w:type="dxa" w:w="484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</w:rPr>
              <w:t>Answer</w:t>
            </w:r>
          </w:p>
        </w:tc>
      </w:tr>
      <w:tr>
        <w:tc>
          <w:tcPr>
            <w:tcW w:type="dxa" w:w="484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Were the thresholds too strict or too lenient?</w:t>
            </w:r>
          </w:p>
        </w:tc>
        <w:tc>
          <w:tcPr>
            <w:tcW w:type="dxa" w:w="484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Overall pass-rate and total-coverage thresholds were appropriate. The 70% high-risk module threshold was strict for the current state, but it was useful because it exposed real M2 and M3 gaps.</w:t>
            </w:r>
          </w:p>
        </w:tc>
      </w:tr>
      <w:tr>
        <w:tc>
          <w:tcPr>
            <w:tcW w:type="dxa" w:w="484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Did the system fail due to poor code quality?</w:t>
            </w:r>
          </w:p>
        </w:tc>
        <w:tc>
          <w:tcPr>
            <w:tcW w:type="dxa" w:w="484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Yes, partly. The anonymous dashboard access defect and the GlobalModel singleton crash modes were code-quality issues in high-impact paths.</w:t>
            </w:r>
          </w:p>
        </w:tc>
      </w:tr>
      <w:tr>
        <w:tc>
          <w:tcPr>
            <w:tcW w:type="dxa" w:w="484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Did the system fail due to insufficient tests?</w:t>
            </w:r>
          </w:p>
        </w:tc>
        <w:tc>
          <w:tcPr>
            <w:tcW w:type="dxa" w:w="484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Yes. M2 and M3 remained under-observed until the midterm expansion introduced focused failure and concurrency checks.</w:t>
            </w:r>
          </w:p>
        </w:tc>
      </w:tr>
      <w:tr>
        <w:tc>
          <w:tcPr>
            <w:tcW w:type="dxa" w:w="484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Did the system fail due to unrealistic thresholds?</w:t>
            </w:r>
          </w:p>
        </w:tc>
        <w:tc>
          <w:tcPr>
            <w:tcW w:type="dxa" w:w="484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No for the overall gates. Only the per-module 70% threshold was aggressive, but it still served as a valid diagnostic target rather than an unrealistic one.</w:t>
            </w:r>
          </w:p>
        </w:tc>
      </w:tr>
    </w:tbl>
    <w:p/>
    <w:p>
      <w:pPr>
        <w:spacing w:before="160" w:after="80"/>
      </w:pPr>
      <w:r>
        <w:rPr>
          <w:rFonts w:ascii="Times New Roman" w:hAnsi="Times New Roman" w:eastAsia="Times New Roman"/>
          <w:b/>
          <w:color w:val="000000"/>
          <w:sz w:val="24"/>
        </w:rPr>
        <w:t>5.2 Required Insights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44"/>
        <w:gridCol w:w="4844"/>
      </w:tblGrid>
      <w:tr>
        <w:tc>
          <w:tcPr>
            <w:tcW w:type="dxa" w:w="484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</w:rPr>
              <w:t>Insight Type</w:t>
            </w:r>
          </w:p>
        </w:tc>
        <w:tc>
          <w:tcPr>
            <w:tcW w:type="dxa" w:w="484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</w:rPr>
              <w:t>Finding</w:t>
            </w:r>
          </w:p>
        </w:tc>
      </w:tr>
      <w:tr>
        <w:tc>
          <w:tcPr>
            <w:tcW w:type="dxa" w:w="484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Incorrect assumptions in planning</w:t>
            </w:r>
          </w:p>
        </w:tc>
        <w:tc>
          <w:tcPr>
            <w:tcW w:type="dxa" w:w="484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Assignment 1 underestimated the pricing risk in M8 because singleton GlobalModel failure modes were not weighted strongly enough.</w:t>
            </w:r>
          </w:p>
        </w:tc>
      </w:tr>
      <w:tr>
        <w:tc>
          <w:tcPr>
            <w:tcW w:type="dxa" w:w="484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Missing test scenarios</w:t>
            </w:r>
          </w:p>
        </w:tc>
        <w:tc>
          <w:tcPr>
            <w:tcW w:type="dxa" w:w="484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Stripe success path, refund behavior, cart variation update branches, and dashboard access control were not covered early enough.</w:t>
            </w:r>
          </w:p>
        </w:tc>
      </w:tr>
      <w:tr>
        <w:tc>
          <w:tcPr>
            <w:tcW w:type="dxa" w:w="484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Inefficient automation design</w:t>
            </w:r>
          </w:p>
        </w:tc>
        <w:tc>
          <w:tcPr>
            <w:tcW w:type="dxa" w:w="484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Earlier evidence relied too heavily on broad smoke checks and did not isolate high-risk failure branches in Stripe and dashboard authorization.</w:t>
            </w:r>
          </w:p>
        </w:tc>
      </w:tr>
      <w:tr>
        <w:tc>
          <w:tcPr>
            <w:tcW w:type="dxa" w:w="484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Improvements for next phase</w:t>
            </w:r>
          </w:p>
        </w:tc>
        <w:tc>
          <w:tcPr>
            <w:tcW w:type="dxa" w:w="484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Add Stripe success-path mocks or sandbox integration, expand cart branch coverage, and keep module-level coverage targets visible in CI analysis.</w:t>
            </w:r>
          </w:p>
        </w:tc>
      </w:tr>
    </w:tbl>
    <w:p/>
    <w:p>
      <w:pPr>
        <w:spacing w:before="160" w:after="80"/>
      </w:pPr>
      <w:r>
        <w:rPr>
          <w:rFonts w:ascii="Times New Roman" w:hAnsi="Times New Roman" w:eastAsia="Times New Roman"/>
          <w:b/>
          <w:color w:val="000000"/>
          <w:sz w:val="24"/>
        </w:rPr>
        <w:t>5.3 What Worked / What Did Not</w:t>
      </w:r>
    </w:p>
    <w:p>
      <w:pPr>
        <w:spacing w:after="60"/>
      </w:pPr>
      <w:r>
        <w:rPr>
          <w:rFonts w:ascii="Times New Roman" w:hAnsi="Times New Roman" w:eastAsia="Times New Roman"/>
          <w:b w:val="0"/>
          <w:color w:val="000000"/>
          <w:sz w:val="24"/>
        </w:rPr>
        <w:t>- What worked: the pipeline structure, repeatability of the selected midterm tests, and the rapid discovery of a real dashboard authorization defect.</w:t>
      </w:r>
    </w:p>
    <w:p>
      <w:pPr>
        <w:spacing w:after="60"/>
      </w:pPr>
      <w:r>
        <w:rPr>
          <w:rFonts w:ascii="Times New Roman" w:hAnsi="Times New Roman" w:eastAsia="Times New Roman"/>
          <w:b w:val="0"/>
          <w:color w:val="000000"/>
          <w:sz w:val="24"/>
        </w:rPr>
        <w:t>- What did not work: early coverage concentration was too model-heavy, leaving M2 and M3 with low detectability at the start of the midterm.</w:t>
      </w:r>
    </w:p>
    <w:p>
      <w:pPr>
        <w:spacing w:after="60"/>
      </w:pPr>
      <w:r>
        <w:rPr>
          <w:rFonts w:ascii="Times New Roman" w:hAnsi="Times New Roman" w:eastAsia="Times New Roman"/>
          <w:b w:val="0"/>
          <w:color w:val="000000"/>
          <w:sz w:val="24"/>
        </w:rPr>
        <w:t>- Unexpected findings: M8 pricing risk increased after confirmed crash reproduction, and dashboard access control was weaker than expected.</w:t>
      </w:r>
    </w:p>
    <w:p>
      <w:pPr>
        <w:spacing w:after="60"/>
      </w:pPr>
      <w:r>
        <w:rPr>
          <w:rFonts w:ascii="Times New Roman" w:hAnsi="Times New Roman" w:eastAsia="Times New Roman"/>
          <w:b w:val="0"/>
          <w:color w:val="000000"/>
          <w:sz w:val="24"/>
        </w:rPr>
        <w:t>- Improvements for next phase: add Stripe success-path coverage, expand cart branch coverage, and keep per-module evidence visible alongside total coverage.</w:t>
      </w:r>
    </w:p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