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000000"/>
          <w:sz w:val="40"/>
        </w:rPr>
        <w:t>Regression Models for Product Recommendation in a Kazakhstan E-Commerce Dataset</w:t>
      </w:r>
    </w:p>
    <w:p>
      <w:pPr>
        <w:spacing w:after="200"/>
        <w:jc w:val="center"/>
      </w:pPr>
      <w:r>
        <w:rPr>
          <w:color w:val="4B5B60"/>
          <w:sz w:val="19"/>
        </w:rPr>
        <w:t>Dias Kazikhanov  |  Astana IT University  |  2026</w:t>
      </w:r>
    </w:p>
    <w:p>
      <w:pPr>
        <w:spacing w:after="40"/>
      </w:pPr>
      <w:r>
        <w:rPr>
          <w:b/>
          <w:sz w:val="21"/>
        </w:rPr>
        <w:t>Abstract</w:t>
      </w:r>
    </w:p>
    <w:p>
      <w:pPr>
        <w:spacing w:line="245" w:lineRule="auto" w:after="100"/>
      </w:pPr>
      <w:r>
        <w:t>This study compares regression models as scoring functions for an implicit-feedback product recommender. The experiment uses the Kazakhstan kz.csv extract of the Kaggle eCommerce purchase-history dataset. After requiring valid 2020 timestamps, product identifiers, prices, and user identifiers, 511,878 of 2,633,521 source rows remained. Events before 1 September 2020 formed the historical feature window; later events supplied observed user-product positives. A reproducible sample of 6,000 positive pairs was paired with sampled items per positive as assumed negatives, producing 29,318 candidate rows for 4,709 users. Fourteen historical and item attributes were used to score one binary relevance target. Eleven regression estimators were compared using ten-fold GroupKFold by user. LightGBM achieved the lowest mean RMSE (0.3349 ± 0.0033) and highest mean R² (0.2444 ± 0.0143); XGBoost was effectively tied on RMSE, while Gradient Boosting Regression attained the highest NDCG@10 (0.7467). These offline results describe ranking among sampled candidates, not customer satisfaction or causal sales impact. The high rate of missing user identifiers and the absence of impression logs make the estimates conditional and call for validation on current, fully observed marketplace traffic.</w:t>
      </w:r>
    </w:p>
    <w:p>
      <w:pPr>
        <w:spacing w:after="200"/>
      </w:pPr>
      <w:r>
        <w:rPr>
          <w:b/>
        </w:rPr>
        <w:t xml:space="preserve">Keywords: </w:t>
      </w:r>
      <w:r>
        <w:t>e-commerce; product recommendation; implicit feedback; Kazakhstan; regression; offline evaluation</w:t>
      </w:r>
    </w:p>
    <w:p>
      <w:pPr>
        <w:pStyle w:val="Heading1"/>
      </w:pPr>
      <w:r>
        <w:t>Introduction</w:t>
      </w:r>
    </w:p>
    <w:p>
      <w:pPr>
        <w:widowControl/>
        <w:jc w:val="both"/>
      </w:pPr>
      <w:r>
        <w:t>Online stores expose shoppers to catalogues containing thousands of products. A recommendation system helps reduce that search burden by selecting or ordering items that are likely to match an individual's interests. Its ranking also allocates attention among merchants and products, so errors affect both the shopper's experience and the distribution of demand. This makes product recommendation a useful applied machine-learning problem: the target is inferred from behaviour, the candidate set is large, and the model must generalize beyond interactions already observed.</w:t>
      </w:r>
    </w:p>
    <w:p>
      <w:pPr>
        <w:widowControl/>
        <w:jc w:val="both"/>
      </w:pPr>
      <w:r>
        <w:t>The problem is relevant to Kazakhstan's expanding digital market. The country's Bureau of National Statistics reported domestic retail e-commerce at 2.44 trillion tenge in 2023, equal to 12.7% of retail trade, with marketplaces accounting for 72.4% of retail e-commerce turnover [1]. A 2025 government report describes a 14.3% share of retail trade [1]. As more purchases move through platforms, shoppers and sellers have more reason to care about product discovery. These national figures motivate the application, but they do not imply that this historical study represents today's platforms, products, or consumers.</w:t>
      </w:r>
    </w:p>
    <w:p>
      <w:pPr>
        <w:widowControl/>
        <w:jc w:val="both"/>
      </w:pPr>
      <w:r>
        <w:t>This study uses the kz.csv file from the Kaggle eCommerce purchase history from electronics store collection [2]. It records transaction timestamps, orders, product identifiers, categories, brands, prices, and users. It does not include product impressions, explicit ratings, searches, or items that a shopper rejected. A recorded purchase is therefore treated as positive implicit feedback. An unrecorded purchase is not equivalent to a known dislike: the customer may never have seen the item. The research problem is consequently framed as scoring observed later purchases against sampled, historically available items without a later purchase record.</w:t>
      </w:r>
    </w:p>
    <w:p>
      <w:pPr>
        <w:widowControl/>
        <w:jc w:val="both"/>
      </w:pPr>
      <w:r>
        <w:t>The research question is: among the regression algorithms required by the assignment, which produces the lowest RMSE and highest R² for sampled purchase relevance under ten-fold user-grouped validation, and does that ordering match NDCG@10? A related question is whether flexible boosting configurations improve on regularized linear regression and KNN when predictors describe historical user activity, item popularity, product category, brand, and price. The scope is intentionally bounded to this feature set, one global time cutoff, one negative-sampling policy, and a fixed random seed. It does not compare every production recommendation architecture.</w:t>
      </w:r>
    </w:p>
    <w:p>
      <w:pPr>
        <w:widowControl/>
        <w:jc w:val="both"/>
      </w:pPr>
      <w:r>
        <w:t>Recent reviews describe e-commerce recommenders as a varied family spanning content-based, collaborative, hybrid, machine-learning, deep-learning, and conversational approaches [3]. The choice of offline protocol can alter model ranking as much as the choice of model. Published recommender studies have documented effects from data filtering, negative sampling, temporal leakage, candidate construction, metrics, and hyperparameter tuning [4, 5, 8, 9]. Therefore, an interpretable comparison needs to disclose the target and validation design rather than present model scores alone. This experiment uses historical features from before the target window, holds out entire users within the later sample, and reports regression metrics together with ranking measures.</w:t>
      </w:r>
    </w:p>
    <w:p>
      <w:pPr>
        <w:pStyle w:val="Heading1"/>
      </w:pPr>
      <w:r>
        <w:t>Literature Review</w:t>
      </w:r>
    </w:p>
    <w:p>
      <w:pPr>
        <w:widowControl/>
        <w:jc w:val="both"/>
      </w:pPr>
      <w:r>
        <w:t>A focused systematic search covered work published from October 2021 through October 2026. Search phrases combined e-commerce recommender systems and product recommendation with offline evaluation, implicit feedback, negative sampling, temporal splitting, and popularity bias. Results were screened for date, traceable publication records, and relevance to recommendation methods or evaluation validity. Publisher pages, DOI metadata, conference proceedings, and author repositories were checked when available. Peer-reviewed journals and conference papers were prioritized. The included literature was used to identify design concerns and not to estimate an aggregate effect. This is a scoped review, not a registered PRISMA review; exact counts of duplicated search hits were not preserved.</w:t>
      </w:r>
    </w:p>
    <w:p>
      <w:pPr>
        <w:widowControl/>
        <w:jc w:val="both"/>
      </w:pPr>
      <w:r>
        <w:t>One theme is the variety of recommendation methods in online retail. Necula and Păvăloaia's systematic review organizes AI-driven e-commerce approaches across conventional machine learning, deep learning, and interactive technologies [3]. This breadth matters because recommendation is not synonymous with a single algorithm. In the current assignment, a regressor acts as a scoring function for candidate user-item pairs. It estimates a continuous relevance value and the system orders products by that score. This is narrower than an end-to-end recommender, which also needs retrieval, availability filtering, diversity rules, and a user interface. It also differs from rating prediction because the dataset has no explicit star ratings.</w:t>
      </w:r>
    </w:p>
    <w:p>
      <w:pPr>
        <w:widowControl/>
        <w:jc w:val="both"/>
      </w:pPr>
      <w:r>
        <w:t>The second theme is evaluation design. Zangerle and Bauer's Framework for Evaluating Recommender Systems treats evaluation as a set of linked decisions about objectives, data, users, outputs, and metrics [4]. Zhao et al. revisited top-N offline evaluation and found that filtering and split procedures can alter algorithm rankings; sampled metrics can also disagree with full-ranking metrics [9]. Hidasi and Czapp describe common flaws in offline recommender evaluation, including protocols poorly aligned with the intended task [8]. These results support reporting the sampling scheme and split strategy along with scores. Saying only that k equals ten does not tell a reader whether users, timestamps, or interactions were held out.</w:t>
      </w:r>
    </w:p>
    <w:p>
      <w:pPr>
        <w:widowControl/>
        <w:jc w:val="both"/>
      </w:pPr>
      <w:r>
        <w:t>Temporal order is another important choice. Gusak et al. compare global temporal validation protocols for sequential recommendation and report that different splitting strategies can change model rankings [10]. A global time cutoff resembles a deployment setting more closely than a split that allows later events into the feature history. This study uses transactions before 1 September 2020 to create user and item summaries, and purchases after that date to form the target pairs. The subsequent ten folds group by user. This preserves a boundary between the historical feature window and target window. The folds are not ten successive chronological test periods, so they do not measure model drift across time.</w:t>
      </w:r>
    </w:p>
    <w:p>
      <w:pPr>
        <w:widowControl/>
        <w:jc w:val="both"/>
      </w:pPr>
      <w:r>
        <w:t>The third theme is implicit feedback and negative sampling. A purchase is an observable choice, but non-purchase can reflect lack of exposure, limited attention, or a competing product. Chen et al. examine negative-sampling and non-sampling approaches for implicit recommendation and show that sampling policy can change ranking performance [7]. Jain and Jindal review sampling and noise filtering techniques, emphasizing that a sample should suit the task rather than serve only as a computational shortcut [5]. Here, up to four historically available products that were not bought in the later window are sampled for each positive. This provides a learnable 0/1 target, but the zeros remain assumed negatives. Because the sample uses the later period to exclude all products the user eventually bought, it is retrospective and easier than ranking among every item a shopper could have encountered.</w:t>
      </w:r>
    </w:p>
    <w:p>
      <w:pPr>
        <w:widowControl/>
        <w:jc w:val="both"/>
      </w:pPr>
      <w:r>
        <w:t>Popularity and representation form a fourth theme. Yalcin and Bilge examine how popularity bias can affect user groups differently [6]. Klimashevskaia et al. survey popularity bias and its measurement and mitigation, highlighting potential conflicts between accuracy and visibility for less popular items [11]. Historical item-event and item-user counts are useful predictors when individual histories are sparse. They may also reinforce high-exposure products. NDCG does not measure whether long-tail goods or smaller sellers receive enough exposure. Coverage, novelty, recommendation popularity, and group-level performance would be needed for a broader assessment.</w:t>
      </w:r>
    </w:p>
    <w:p>
      <w:pPr>
        <w:pStyle w:val="Heading1"/>
      </w:pPr>
      <w:r>
        <w:t>Materials and Methods</w:t>
      </w:r>
    </w:p>
    <w:p>
      <w:pPr>
        <w:pStyle w:val="Heading2"/>
      </w:pPr>
      <w:r>
        <w:t>Study design and review protocol</w:t>
      </w:r>
    </w:p>
    <w:p>
      <w:pPr>
        <w:widowControl/>
        <w:jc w:val="both"/>
      </w:pPr>
      <w:r>
        <w:t>The quantitative study is a retrospective offline benchmark with a fixed global time boundary and ten-fold user-grouped cross-validation. The literature search and screening criteria are described in the preceding section. The review motivates the methods; it is not a meta-analysis and does not combine effect sizes.</w:t>
      </w:r>
    </w:p>
    <w:p>
      <w:pPr>
        <w:pStyle w:val="Heading2"/>
      </w:pPr>
      <w:r>
        <w:t>Dataset and preparation</w:t>
      </w:r>
    </w:p>
    <w:p>
      <w:pPr>
        <w:widowControl/>
        <w:jc w:val="both"/>
      </w:pPr>
      <w:r>
        <w:t>The selected file is the Kazakhstan kz.csv extract in Kaggle's eCommerce purchase history from electronics store dataset [2]. It has 2,633,521 transaction rows and eight fields: event time, order ID, product ID, category ID, category code, brand, price, and user ID. The recorded period is April to November 2020. Identifier columns were parsed as strings to preserve long IDs. Timestamps were converted to UTC. A record was retained only when it had a valid timestamp, user ID, product ID, and positive numeric price, and fell between 1 April and 31 December 2020. This left 511,878 records. The usable history window before the cutoff contained 269,975 events, while 241,903 events fell after the cutoff. The historical window contained 121,536 distinct users and 15,678 products.</w:t>
      </w:r>
    </w:p>
    <w:p>
      <w:pPr>
        <w:widowControl/>
        <w:jc w:val="both"/>
      </w:pPr>
      <w:r>
        <w:t>The raw source has substantial missingness: 2,069,352 rows lack user IDs, 431,954 lack prices, and 431,954 lack category IDs. These conditions overlap and the counts should not be summed. User and product IDs were not imputed. Missing categories and brands were encoded as unknown. Rows with unavailable or non-positive prices were removed, and the date-window rule excluded records from 1970. The retained rows represent a selected subset with usable user data, not the full marketplace population.</w:t>
      </w:r>
    </w:p>
    <w:p>
      <w:pPr>
        <w:widowControl/>
        <w:jc w:val="both"/>
      </w:pPr>
      <w:r>
        <w:t>The public Kaggle file is locally included in the project. Its regional extract and source records support a Kazakhstan-related case, although dataset-level geography and licensing terms should be verified on the live Kaggle page before redistribution. The instructor must also confirm that the same dataset has not already been assigned to another master's student in the lecture cohort. Public availability and the use of a specific file do not establish cohort uniqueness. The dataset does not include city, platform, explicit feedback, product availability, item exposure, or documented price currency. Price is therefore treated as a relative recorded value and is not described as tenge.</w:t>
      </w:r>
    </w:p>
    <w:p>
      <w:pPr>
        <w:pStyle w:val="Heading2"/>
      </w:pPr>
      <w:r>
        <w:t>Target construction and candidates</w:t>
      </w:r>
    </w:p>
    <w:p>
      <w:pPr>
        <w:widowControl/>
        <w:jc w:val="both"/>
      </w:pPr>
      <w:r>
        <w:t>The target period begins on 1 September 2020 and ends with the final valid record on 21 November 2020. Repeated transactions were consolidated into distinct user-product pairs. A pair purchased at least once during the target period received relevance label 1. For each positive, up to four products were sampled from the user's historically available products, preferring a matching category. Products purchased by the same user in the history window or in the target window were excluded from the negative pool. A sampled pair without an observed target-period purchase received label 0. The latter label is an assumed negative only: no impression or explicit rejection confirms that the user saw or disliked the product.</w:t>
      </w:r>
    </w:p>
    <w:p>
      <w:pPr>
        <w:widowControl/>
        <w:jc w:val="both"/>
      </w:pPr>
      <w:r>
        <w:t>The script samples 6,000 eligible positive pairs uniformly with random seed 42. Negative generation results in 29,318 candidate rows and 4,709 distinct users because some users have fewer than four eligible alternatives. This corresponds to a roughly one-to-four positive-to-negative ratio; it is not the store's conversion rate. The cap permits the complete algorithm list to be run on a workstation, while retaining a sizeable sample for cross-validation. The saved JSON and CSV record the cutoff, seed, sample size, feature list, metrics, and per-model runtime.</w:t>
      </w:r>
    </w:p>
    <w:p>
      <w:pPr>
        <w:pStyle w:val="Heading2"/>
      </w:pPr>
      <w:r>
        <w:t>Predictors and model preparation</w:t>
      </w:r>
    </w:p>
    <w:p>
      <w:pPr>
        <w:widowControl/>
        <w:jc w:val="both"/>
      </w:pPr>
      <w:r>
        <w:t>Fourteen predictors describe a candidate and the user's history before the cutoff. Three categorical variables encode category code, category ID, and brand. Eleven numeric variables are log price; log user event count; the number of distinct historical products for the user; average historical log price for that user; days since the user's last event; log item event count; log distinct item users; the user's share of historical events in the candidate's category; the user's share in its brand; item event share within its category; and item event share within its brand. Identifiers join events, group users for validation, and exclude past purchases from recommendations, but are not direct model features. All predictors are derived from the historical period, so the target-period purchases do not contribute to feature values.</w:t>
      </w:r>
    </w:p>
    <w:p>
      <w:pPr>
        <w:widowControl/>
        <w:jc w:val="both"/>
      </w:pPr>
      <w:r>
        <w:t>Preprocessing is fitted within each training fold. Scikit-learn pipelines one-hot encode categories with rare values pooled and unknown levels ignored. Numeric columns are median-imputed; standard scaling is used for Ridge, Lasso, Elastic Net, and KNN. Tree methods receive unscaled numeric features. CatBoost consumes categorical variables natively. HistGradientBoosting uses ordinal encoding to create a dense array for the scikit-learn implementation. The historical profile tables remain fixed because their events all precede the target window. Preprocessing learned from model inputs, including category vocabularies and scaling parameters, is refitted inside each fold.</w:t>
      </w:r>
    </w:p>
    <w:p>
      <w:pPr>
        <w:pStyle w:val="Heading2"/>
      </w:pPr>
      <w:r>
        <w:t>Algorithms</w:t>
      </w:r>
    </w:p>
    <w:p>
      <w:pPr>
        <w:widowControl/>
        <w:jc w:val="both"/>
      </w:pPr>
      <w:r>
        <w:t>Eleven regressors are compared: Ridge, Lasso, Elastic Net, KNN Regression, Extra Trees Regression, AdaBoost Regression, Gradient Boosting Regression, XGBoost, LightGBM, CatBoost, and HistGradientBoosting. This counts XGBoost and LightGBM separately although the course table groups them under high-performance boosting. Regularized linear methods are low-complexity baselines. KNN estimates relevance from feature-space neighbours. The tree ensembles can capture non-linear relationships and interactions. XGBoost and LightGBM implement gradient-boosted decision trees [13, 14], while CatBoost includes specialized handling for categorical features [15]. Fixed configurations were used rather than conducting a separate hyperparameter search for each algorithm. This compares the reported configurations and does not claim to identify each estimator's optimum.</w:t>
      </w:r>
    </w:p>
    <w:p>
      <w:pPr>
        <w:pStyle w:val="Heading2"/>
      </w:pPr>
      <w:r>
        <w:t>Validation and performance metrics</w:t>
      </w:r>
    </w:p>
    <w:p>
      <w:pPr>
        <w:widowControl/>
        <w:jc w:val="both"/>
      </w:pPr>
      <w:r>
        <w:t>Ten-fold GroupKFold uses user ID as its grouping variable. All candidate rows for one user are assigned to one fold, so a model never trains on other candidate outcomes from its held-out users. Historical preferences remain available through the fourteen features. The protocol therefore estimates how a model trained on sampled users scores candidates for other users who have earlier purchase histories. The global history boundary prevents target-period events from entering those features. The grouped folds operate over one later time window; they are not ten rolling chronological evaluations and cannot quantify changing consumer behaviour across successive months.</w:t>
      </w:r>
    </w:p>
    <w:p>
      <w:pPr>
        <w:widowControl/>
        <w:jc w:val="both"/>
      </w:pPr>
      <w:r>
        <w:t>RMSE equals the square root of mean squared error between binary relevance labels and continuous model scores. Lower values indicate smaller row-wise deviations. R² equals one minus the ratio of residual sum of squares to total sum of squares. Higher values indicate more fold-label variation explained relative to the fold mean. Means and standard deviations are calculated across the ten user folds. Since an ecommerce recommender ultimately returns ordered lists, NDCG@10 is reported per user as a supplemental ranking metric. HitRate@10 marks whether at least one observed positive appears among a user's top ten sampled candidates. These ranking metrics are not substitutes for full-catalog metrics, since assumed negatives were sampled and unexposed products are not known to be irrelevant.</w:t>
      </w:r>
    </w:p>
    <w:p>
      <w:pPr>
        <w:widowControl/>
        <w:jc w:val="both"/>
      </w:pPr>
      <w:r>
        <w:t>The experimental comparison uses identical sampled candidates and folds for all models. Seed 42 governs sampling and estimators where a seed parameter is supported. No paired inferential test, online A/B test, or external dataset validation was conducted. The feature-selection and model configurations are held constant for teaching clarity, but they could favour some algorithms over others. The project's Python script writes complete fold means, fold variability, ranking results, and runtime to machine-readable files. The raw CSV and reproduction command are included with the deliverables.</w:t>
      </w:r>
    </w:p>
    <w:p>
      <w:pPr>
        <w:pStyle w:val="Heading1"/>
      </w:pPr>
      <w:r>
        <w:t>Results and Discussion</w:t>
      </w:r>
    </w:p>
    <w:p>
      <w:pPr>
        <w:widowControl/>
        <w:jc w:val="both"/>
      </w:pPr>
      <w:r>
        <w:t>The source contained 2,633,521 rows, but only 511,878 (19.4%) met the user, product, timestamp, and price requirements. This attrition reflects missing user IDs and other unusable values and sharply narrows the population to which the personalized comparison applies. Of the retained rows, 269,975 occurred before the cutoff and 241,903 after it. The historical profiles covered 121,536 users and 15,678 products. The sampled target set comprised 6,000 positive pairs and 29,318 total candidate rows across 4,709 users. Positive prevalence was approximately 20.5%, dictated by negative sampling, not by the actual probability that a visitor purchased a recommended product.</w:t>
      </w:r>
    </w:p>
    <w:p>
      <w:pPr>
        <w:widowControl/>
        <w:jc w:val="both"/>
      </w:pPr>
      <w:r>
        <w:t>Table 1 presents the ten-fold grouped results. All models use fourteen predictors and one binary implicit-relevance target. LightGBM recorded the lowest mean RMSE at 0.3349 ± 0.0033 and the highest R² at 0.2444 ± 0.0143. XGBoost was almost identical with RMSE 0.3350 ± 0.0030 and R² 0.2443 ± 0.0132. The absolute RMSE difference is 0.0001. CatBoost and HistGradientBoosting followed closely, with RMSE means of 0.3359 and 0.3361. Fold variability overlaps substantially. Without paired statistical tests and independent evaluation data, the tiny difference between the top two methods cannot support a strong superiority claim.</w:t>
      </w:r>
    </w:p>
    <w:p>
      <w:pPr>
        <w:pStyle w:val="Heading2"/>
      </w:pPr>
      <w:r>
        <w:t>Table 1. Regression model comparison</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2131"/>
            <w:vAlign w:val="center"/>
            <w:tcMar>
              <w:top w:w="75" w:type="dxa"/>
              <w:start w:w="75" w:type="dxa"/>
              <w:bottom w:w="75" w:type="dxa"/>
              <w:end w:w="75" w:type="dxa"/>
            </w:tcMar>
            <w:shd w:fill="244E58"/>
          </w:tcPr>
          <w:p>
            <w:pPr>
              <w:jc w:val="center"/>
            </w:pPr>
            <w:r>
              <w:rPr>
                <w:b/>
                <w:color w:val="FFFFFF"/>
                <w:sz w:val="14"/>
              </w:rPr>
              <w:t>Algorithm</w:t>
            </w:r>
          </w:p>
        </w:tc>
        <w:tc>
          <w:tcPr>
            <w:tcW w:type="dxa" w:w="720"/>
            <w:vAlign w:val="center"/>
            <w:tcMar>
              <w:top w:w="75" w:type="dxa"/>
              <w:start w:w="75" w:type="dxa"/>
              <w:bottom w:w="75" w:type="dxa"/>
              <w:end w:w="75" w:type="dxa"/>
            </w:tcMar>
            <w:shd w:fill="244E58"/>
          </w:tcPr>
          <w:p>
            <w:pPr>
              <w:jc w:val="center"/>
            </w:pPr>
            <w:r>
              <w:rPr>
                <w:b/>
                <w:color w:val="FFFFFF"/>
                <w:sz w:val="14"/>
              </w:rPr>
              <w:t>Features</w:t>
            </w:r>
          </w:p>
        </w:tc>
        <w:tc>
          <w:tcPr>
            <w:tcW w:type="dxa" w:w="720"/>
            <w:vAlign w:val="center"/>
            <w:tcMar>
              <w:top w:w="75" w:type="dxa"/>
              <w:start w:w="75" w:type="dxa"/>
              <w:bottom w:w="75" w:type="dxa"/>
              <w:end w:w="75" w:type="dxa"/>
            </w:tcMar>
            <w:shd w:fill="244E58"/>
          </w:tcPr>
          <w:p>
            <w:pPr>
              <w:jc w:val="center"/>
            </w:pPr>
            <w:r>
              <w:rPr>
                <w:b/>
                <w:color w:val="FFFFFF"/>
                <w:sz w:val="14"/>
              </w:rPr>
              <w:t>Targets</w:t>
            </w:r>
          </w:p>
        </w:tc>
        <w:tc>
          <w:tcPr>
            <w:tcW w:type="dxa" w:w="720"/>
            <w:vAlign w:val="center"/>
            <w:tcMar>
              <w:top w:w="75" w:type="dxa"/>
              <w:start w:w="75" w:type="dxa"/>
              <w:bottom w:w="75" w:type="dxa"/>
              <w:end w:w="75" w:type="dxa"/>
            </w:tcMar>
            <w:shd w:fill="244E58"/>
          </w:tcPr>
          <w:p>
            <w:pPr>
              <w:jc w:val="center"/>
            </w:pPr>
            <w:r>
              <w:rPr>
                <w:b/>
                <w:color w:val="FFFFFF"/>
                <w:sz w:val="14"/>
              </w:rPr>
              <w:t>k-folds</w:t>
            </w:r>
          </w:p>
        </w:tc>
        <w:tc>
          <w:tcPr>
            <w:tcW w:type="dxa" w:w="1512"/>
            <w:vAlign w:val="center"/>
            <w:tcMar>
              <w:top w:w="75" w:type="dxa"/>
              <w:start w:w="75" w:type="dxa"/>
              <w:bottom w:w="75" w:type="dxa"/>
              <w:end w:w="75" w:type="dxa"/>
            </w:tcMar>
            <w:shd w:fill="244E58"/>
          </w:tcPr>
          <w:p>
            <w:pPr>
              <w:jc w:val="center"/>
            </w:pPr>
            <w:r>
              <w:rPr>
                <w:b/>
                <w:color w:val="FFFFFF"/>
                <w:sz w:val="14"/>
              </w:rPr>
              <w:t>RMSE mean ± SD</w:t>
            </w:r>
          </w:p>
        </w:tc>
        <w:tc>
          <w:tcPr>
            <w:tcW w:type="dxa" w:w="1411"/>
            <w:vAlign w:val="center"/>
            <w:tcMar>
              <w:top w:w="75" w:type="dxa"/>
              <w:start w:w="75" w:type="dxa"/>
              <w:bottom w:w="75" w:type="dxa"/>
              <w:end w:w="75" w:type="dxa"/>
            </w:tcMar>
            <w:shd w:fill="244E58"/>
          </w:tcPr>
          <w:p>
            <w:pPr>
              <w:jc w:val="center"/>
            </w:pPr>
            <w:r>
              <w:rPr>
                <w:b/>
                <w:color w:val="FFFFFF"/>
                <w:sz w:val="14"/>
              </w:rPr>
              <w:t>R² mean ± SD</w:t>
            </w:r>
          </w:p>
        </w:tc>
        <w:tc>
          <w:tcPr>
            <w:tcW w:type="dxa" w:w="1123"/>
            <w:vAlign w:val="center"/>
            <w:tcMar>
              <w:top w:w="75" w:type="dxa"/>
              <w:start w:w="75" w:type="dxa"/>
              <w:bottom w:w="75" w:type="dxa"/>
              <w:end w:w="75" w:type="dxa"/>
            </w:tcMar>
            <w:shd w:fill="244E58"/>
          </w:tcPr>
          <w:p>
            <w:pPr>
              <w:jc w:val="center"/>
            </w:pPr>
            <w:r>
              <w:rPr>
                <w:b/>
                <w:color w:val="FFFFFF"/>
                <w:sz w:val="14"/>
              </w:rPr>
              <w:t>NDCG@10</w:t>
            </w:r>
          </w:p>
        </w:tc>
      </w:tr>
      <w:tr>
        <w:tc>
          <w:tcPr>
            <w:tcW w:type="dxa" w:w="2131"/>
            <w:vAlign w:val="center"/>
            <w:tcMar>
              <w:top w:w="75" w:type="dxa"/>
              <w:start w:w="75" w:type="dxa"/>
              <w:bottom w:w="75" w:type="dxa"/>
              <w:end w:w="75" w:type="dxa"/>
            </w:tcMar>
          </w:tcPr>
          <w:p>
            <w:pPr>
              <w:jc w:val="left"/>
            </w:pPr>
            <w:r>
              <w:rPr>
                <w:sz w:val="14"/>
              </w:rPr>
              <w:t>LightGBM</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0.3349 ± 0.0033</w:t>
            </w:r>
          </w:p>
        </w:tc>
        <w:tc>
          <w:tcPr>
            <w:tcW w:type="dxa" w:w="1411"/>
            <w:vAlign w:val="center"/>
            <w:tcMar>
              <w:top w:w="75" w:type="dxa"/>
              <w:start w:w="75" w:type="dxa"/>
              <w:bottom w:w="75" w:type="dxa"/>
              <w:end w:w="75" w:type="dxa"/>
            </w:tcMar>
          </w:tcPr>
          <w:p>
            <w:pPr>
              <w:jc w:val="center"/>
            </w:pPr>
            <w:r>
              <w:rPr>
                <w:sz w:val="14"/>
              </w:rPr>
              <w:t>0.2444 ± 0.0143</w:t>
            </w:r>
          </w:p>
        </w:tc>
        <w:tc>
          <w:tcPr>
            <w:tcW w:type="dxa" w:w="1123"/>
            <w:vAlign w:val="center"/>
            <w:tcMar>
              <w:top w:w="75" w:type="dxa"/>
              <w:start w:w="75" w:type="dxa"/>
              <w:bottom w:w="75" w:type="dxa"/>
              <w:end w:w="75" w:type="dxa"/>
            </w:tcMar>
          </w:tcPr>
          <w:p>
            <w:pPr>
              <w:jc w:val="center"/>
            </w:pPr>
            <w:r>
              <w:rPr>
                <w:sz w:val="14"/>
              </w:rPr>
              <w:t>0.7431</w:t>
            </w:r>
          </w:p>
        </w:tc>
      </w:tr>
      <w:tr>
        <w:tc>
          <w:tcPr>
            <w:tcW w:type="dxa" w:w="2131"/>
            <w:vAlign w:val="center"/>
            <w:tcMar>
              <w:top w:w="75" w:type="dxa"/>
              <w:start w:w="75" w:type="dxa"/>
              <w:bottom w:w="75" w:type="dxa"/>
              <w:end w:w="75" w:type="dxa"/>
            </w:tcMar>
            <w:shd w:fill="F0F5F5"/>
          </w:tcPr>
          <w:p>
            <w:pPr>
              <w:jc w:val="left"/>
            </w:pPr>
            <w:r>
              <w:rPr>
                <w:sz w:val="14"/>
              </w:rPr>
              <w:t>XGBoost</w:t>
            </w:r>
          </w:p>
        </w:tc>
        <w:tc>
          <w:tcPr>
            <w:tcW w:type="dxa" w:w="720"/>
            <w:vAlign w:val="center"/>
            <w:tcMar>
              <w:top w:w="75" w:type="dxa"/>
              <w:start w:w="75" w:type="dxa"/>
              <w:bottom w:w="75" w:type="dxa"/>
              <w:end w:w="75" w:type="dxa"/>
            </w:tcMar>
            <w:shd w:fill="F0F5F5"/>
          </w:tcPr>
          <w:p>
            <w:pPr>
              <w:jc w:val="center"/>
            </w:pPr>
            <w:r>
              <w:rPr>
                <w:sz w:val="14"/>
              </w:rPr>
              <w:t>14</w:t>
            </w:r>
          </w:p>
        </w:tc>
        <w:tc>
          <w:tcPr>
            <w:tcW w:type="dxa" w:w="720"/>
            <w:vAlign w:val="center"/>
            <w:tcMar>
              <w:top w:w="75" w:type="dxa"/>
              <w:start w:w="75" w:type="dxa"/>
              <w:bottom w:w="75" w:type="dxa"/>
              <w:end w:w="75" w:type="dxa"/>
            </w:tcMar>
            <w:shd w:fill="F0F5F5"/>
          </w:tcPr>
          <w:p>
            <w:pPr>
              <w:jc w:val="center"/>
            </w:pPr>
            <w:r>
              <w:rPr>
                <w:sz w:val="14"/>
              </w:rPr>
              <w:t>1</w:t>
            </w:r>
          </w:p>
        </w:tc>
        <w:tc>
          <w:tcPr>
            <w:tcW w:type="dxa" w:w="720"/>
            <w:vAlign w:val="center"/>
            <w:tcMar>
              <w:top w:w="75" w:type="dxa"/>
              <w:start w:w="75" w:type="dxa"/>
              <w:bottom w:w="75" w:type="dxa"/>
              <w:end w:w="75" w:type="dxa"/>
            </w:tcMar>
            <w:shd w:fill="F0F5F5"/>
          </w:tcPr>
          <w:p>
            <w:pPr>
              <w:jc w:val="center"/>
            </w:pPr>
            <w:r>
              <w:rPr>
                <w:sz w:val="14"/>
              </w:rPr>
              <w:t>10</w:t>
            </w:r>
          </w:p>
        </w:tc>
        <w:tc>
          <w:tcPr>
            <w:tcW w:type="dxa" w:w="1512"/>
            <w:vAlign w:val="center"/>
            <w:tcMar>
              <w:top w:w="75" w:type="dxa"/>
              <w:start w:w="75" w:type="dxa"/>
              <w:bottom w:w="75" w:type="dxa"/>
              <w:end w:w="75" w:type="dxa"/>
            </w:tcMar>
            <w:shd w:fill="F0F5F5"/>
          </w:tcPr>
          <w:p>
            <w:pPr>
              <w:jc w:val="center"/>
            </w:pPr>
            <w:r>
              <w:rPr>
                <w:sz w:val="14"/>
              </w:rPr>
              <w:t>0.3350 ± 0.0030</w:t>
            </w:r>
          </w:p>
        </w:tc>
        <w:tc>
          <w:tcPr>
            <w:tcW w:type="dxa" w:w="1411"/>
            <w:vAlign w:val="center"/>
            <w:tcMar>
              <w:top w:w="75" w:type="dxa"/>
              <w:start w:w="75" w:type="dxa"/>
              <w:bottom w:w="75" w:type="dxa"/>
              <w:end w:w="75" w:type="dxa"/>
            </w:tcMar>
            <w:shd w:fill="F0F5F5"/>
          </w:tcPr>
          <w:p>
            <w:pPr>
              <w:jc w:val="center"/>
            </w:pPr>
            <w:r>
              <w:rPr>
                <w:sz w:val="14"/>
              </w:rPr>
              <w:t>0.2443 ± 0.0132</w:t>
            </w:r>
          </w:p>
        </w:tc>
        <w:tc>
          <w:tcPr>
            <w:tcW w:type="dxa" w:w="1123"/>
            <w:vAlign w:val="center"/>
            <w:tcMar>
              <w:top w:w="75" w:type="dxa"/>
              <w:start w:w="75" w:type="dxa"/>
              <w:bottom w:w="75" w:type="dxa"/>
              <w:end w:w="75" w:type="dxa"/>
            </w:tcMar>
            <w:shd w:fill="F0F5F5"/>
          </w:tcPr>
          <w:p>
            <w:pPr>
              <w:jc w:val="center"/>
            </w:pPr>
            <w:r>
              <w:rPr>
                <w:sz w:val="14"/>
              </w:rPr>
              <w:t>0.7444</w:t>
            </w:r>
          </w:p>
        </w:tc>
      </w:tr>
      <w:tr>
        <w:tc>
          <w:tcPr>
            <w:tcW w:type="dxa" w:w="2131"/>
            <w:vAlign w:val="center"/>
            <w:tcMar>
              <w:top w:w="75" w:type="dxa"/>
              <w:start w:w="75" w:type="dxa"/>
              <w:bottom w:w="75" w:type="dxa"/>
              <w:end w:w="75" w:type="dxa"/>
            </w:tcMar>
          </w:tcPr>
          <w:p>
            <w:pPr>
              <w:jc w:val="left"/>
            </w:pPr>
            <w:r>
              <w:rPr>
                <w:sz w:val="14"/>
              </w:rPr>
              <w:t>CatBoost</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0.3359 ± 0.0030</w:t>
            </w:r>
          </w:p>
        </w:tc>
        <w:tc>
          <w:tcPr>
            <w:tcW w:type="dxa" w:w="1411"/>
            <w:vAlign w:val="center"/>
            <w:tcMar>
              <w:top w:w="75" w:type="dxa"/>
              <w:start w:w="75" w:type="dxa"/>
              <w:bottom w:w="75" w:type="dxa"/>
              <w:end w:w="75" w:type="dxa"/>
            </w:tcMar>
          </w:tcPr>
          <w:p>
            <w:pPr>
              <w:jc w:val="center"/>
            </w:pPr>
            <w:r>
              <w:rPr>
                <w:sz w:val="14"/>
              </w:rPr>
              <w:t>0.2402 ± 0.0130</w:t>
            </w:r>
          </w:p>
        </w:tc>
        <w:tc>
          <w:tcPr>
            <w:tcW w:type="dxa" w:w="1123"/>
            <w:vAlign w:val="center"/>
            <w:tcMar>
              <w:top w:w="75" w:type="dxa"/>
              <w:start w:w="75" w:type="dxa"/>
              <w:bottom w:w="75" w:type="dxa"/>
              <w:end w:w="75" w:type="dxa"/>
            </w:tcMar>
          </w:tcPr>
          <w:p>
            <w:pPr>
              <w:jc w:val="center"/>
            </w:pPr>
            <w:r>
              <w:rPr>
                <w:sz w:val="14"/>
              </w:rPr>
              <w:t>0.7444</w:t>
            </w:r>
          </w:p>
        </w:tc>
      </w:tr>
      <w:tr>
        <w:tc>
          <w:tcPr>
            <w:tcW w:type="dxa" w:w="2131"/>
            <w:vAlign w:val="center"/>
            <w:tcMar>
              <w:top w:w="75" w:type="dxa"/>
              <w:start w:w="75" w:type="dxa"/>
              <w:bottom w:w="75" w:type="dxa"/>
              <w:end w:w="75" w:type="dxa"/>
            </w:tcMar>
            <w:shd w:fill="F0F5F5"/>
          </w:tcPr>
          <w:p>
            <w:pPr>
              <w:jc w:val="left"/>
            </w:pPr>
            <w:r>
              <w:rPr>
                <w:sz w:val="14"/>
              </w:rPr>
              <w:t>HistGradientBoosting</w:t>
            </w:r>
          </w:p>
        </w:tc>
        <w:tc>
          <w:tcPr>
            <w:tcW w:type="dxa" w:w="720"/>
            <w:vAlign w:val="center"/>
            <w:tcMar>
              <w:top w:w="75" w:type="dxa"/>
              <w:start w:w="75" w:type="dxa"/>
              <w:bottom w:w="75" w:type="dxa"/>
              <w:end w:w="75" w:type="dxa"/>
            </w:tcMar>
            <w:shd w:fill="F0F5F5"/>
          </w:tcPr>
          <w:p>
            <w:pPr>
              <w:jc w:val="center"/>
            </w:pPr>
            <w:r>
              <w:rPr>
                <w:sz w:val="14"/>
              </w:rPr>
              <w:t>14</w:t>
            </w:r>
          </w:p>
        </w:tc>
        <w:tc>
          <w:tcPr>
            <w:tcW w:type="dxa" w:w="720"/>
            <w:vAlign w:val="center"/>
            <w:tcMar>
              <w:top w:w="75" w:type="dxa"/>
              <w:start w:w="75" w:type="dxa"/>
              <w:bottom w:w="75" w:type="dxa"/>
              <w:end w:w="75" w:type="dxa"/>
            </w:tcMar>
            <w:shd w:fill="F0F5F5"/>
          </w:tcPr>
          <w:p>
            <w:pPr>
              <w:jc w:val="center"/>
            </w:pPr>
            <w:r>
              <w:rPr>
                <w:sz w:val="14"/>
              </w:rPr>
              <w:t>1</w:t>
            </w:r>
          </w:p>
        </w:tc>
        <w:tc>
          <w:tcPr>
            <w:tcW w:type="dxa" w:w="720"/>
            <w:vAlign w:val="center"/>
            <w:tcMar>
              <w:top w:w="75" w:type="dxa"/>
              <w:start w:w="75" w:type="dxa"/>
              <w:bottom w:w="75" w:type="dxa"/>
              <w:end w:w="75" w:type="dxa"/>
            </w:tcMar>
            <w:shd w:fill="F0F5F5"/>
          </w:tcPr>
          <w:p>
            <w:pPr>
              <w:jc w:val="center"/>
            </w:pPr>
            <w:r>
              <w:rPr>
                <w:sz w:val="14"/>
              </w:rPr>
              <w:t>10</w:t>
            </w:r>
          </w:p>
        </w:tc>
        <w:tc>
          <w:tcPr>
            <w:tcW w:type="dxa" w:w="1512"/>
            <w:vAlign w:val="center"/>
            <w:tcMar>
              <w:top w:w="75" w:type="dxa"/>
              <w:start w:w="75" w:type="dxa"/>
              <w:bottom w:w="75" w:type="dxa"/>
              <w:end w:w="75" w:type="dxa"/>
            </w:tcMar>
            <w:shd w:fill="F0F5F5"/>
          </w:tcPr>
          <w:p>
            <w:pPr>
              <w:jc w:val="center"/>
            </w:pPr>
            <w:r>
              <w:rPr>
                <w:sz w:val="14"/>
              </w:rPr>
              <w:t>0.3361 ± 0.0031</w:t>
            </w:r>
          </w:p>
        </w:tc>
        <w:tc>
          <w:tcPr>
            <w:tcW w:type="dxa" w:w="1411"/>
            <w:vAlign w:val="center"/>
            <w:tcMar>
              <w:top w:w="75" w:type="dxa"/>
              <w:start w:w="75" w:type="dxa"/>
              <w:bottom w:w="75" w:type="dxa"/>
              <w:end w:w="75" w:type="dxa"/>
            </w:tcMar>
            <w:shd w:fill="F0F5F5"/>
          </w:tcPr>
          <w:p>
            <w:pPr>
              <w:jc w:val="center"/>
            </w:pPr>
            <w:r>
              <w:rPr>
                <w:sz w:val="14"/>
              </w:rPr>
              <w:t>0.2390 ± 0.0131</w:t>
            </w:r>
          </w:p>
        </w:tc>
        <w:tc>
          <w:tcPr>
            <w:tcW w:type="dxa" w:w="1123"/>
            <w:vAlign w:val="center"/>
            <w:tcMar>
              <w:top w:w="75" w:type="dxa"/>
              <w:start w:w="75" w:type="dxa"/>
              <w:bottom w:w="75" w:type="dxa"/>
              <w:end w:w="75" w:type="dxa"/>
            </w:tcMar>
            <w:shd w:fill="F0F5F5"/>
          </w:tcPr>
          <w:p>
            <w:pPr>
              <w:jc w:val="center"/>
            </w:pPr>
            <w:r>
              <w:rPr>
                <w:sz w:val="14"/>
              </w:rPr>
              <w:t>0.7405</w:t>
            </w:r>
          </w:p>
        </w:tc>
      </w:tr>
      <w:tr>
        <w:tc>
          <w:tcPr>
            <w:tcW w:type="dxa" w:w="2131"/>
            <w:vAlign w:val="center"/>
            <w:tcMar>
              <w:top w:w="75" w:type="dxa"/>
              <w:start w:w="75" w:type="dxa"/>
              <w:bottom w:w="75" w:type="dxa"/>
              <w:end w:w="75" w:type="dxa"/>
            </w:tcMar>
          </w:tcPr>
          <w:p>
            <w:pPr>
              <w:jc w:val="left"/>
            </w:pPr>
            <w:r>
              <w:rPr>
                <w:sz w:val="14"/>
              </w:rPr>
              <w:t>Gradient Boosting Regression</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0.3403 ± 0.0030</w:t>
            </w:r>
          </w:p>
        </w:tc>
        <w:tc>
          <w:tcPr>
            <w:tcW w:type="dxa" w:w="1411"/>
            <w:vAlign w:val="center"/>
            <w:tcMar>
              <w:top w:w="75" w:type="dxa"/>
              <w:start w:w="75" w:type="dxa"/>
              <w:bottom w:w="75" w:type="dxa"/>
              <w:end w:w="75" w:type="dxa"/>
            </w:tcMar>
          </w:tcPr>
          <w:p>
            <w:pPr>
              <w:jc w:val="center"/>
            </w:pPr>
            <w:r>
              <w:rPr>
                <w:sz w:val="14"/>
              </w:rPr>
              <w:t>0.2202 ± 0.0135</w:t>
            </w:r>
          </w:p>
        </w:tc>
        <w:tc>
          <w:tcPr>
            <w:tcW w:type="dxa" w:w="1123"/>
            <w:vAlign w:val="center"/>
            <w:tcMar>
              <w:top w:w="75" w:type="dxa"/>
              <w:start w:w="75" w:type="dxa"/>
              <w:bottom w:w="75" w:type="dxa"/>
              <w:end w:w="75" w:type="dxa"/>
            </w:tcMar>
          </w:tcPr>
          <w:p>
            <w:pPr>
              <w:jc w:val="center"/>
            </w:pPr>
            <w:r>
              <w:rPr>
                <w:sz w:val="14"/>
              </w:rPr>
              <w:t>0.7467</w:t>
            </w:r>
          </w:p>
        </w:tc>
      </w:tr>
      <w:tr>
        <w:tc>
          <w:tcPr>
            <w:tcW w:type="dxa" w:w="2131"/>
            <w:vAlign w:val="center"/>
            <w:tcMar>
              <w:top w:w="75" w:type="dxa"/>
              <w:start w:w="75" w:type="dxa"/>
              <w:bottom w:w="75" w:type="dxa"/>
              <w:end w:w="75" w:type="dxa"/>
            </w:tcMar>
            <w:shd w:fill="F0F5F5"/>
          </w:tcPr>
          <w:p>
            <w:pPr>
              <w:jc w:val="left"/>
            </w:pPr>
            <w:r>
              <w:rPr>
                <w:sz w:val="14"/>
              </w:rPr>
              <w:t>Ridge</w:t>
            </w:r>
          </w:p>
        </w:tc>
        <w:tc>
          <w:tcPr>
            <w:tcW w:type="dxa" w:w="720"/>
            <w:vAlign w:val="center"/>
            <w:tcMar>
              <w:top w:w="75" w:type="dxa"/>
              <w:start w:w="75" w:type="dxa"/>
              <w:bottom w:w="75" w:type="dxa"/>
              <w:end w:w="75" w:type="dxa"/>
            </w:tcMar>
            <w:shd w:fill="F0F5F5"/>
          </w:tcPr>
          <w:p>
            <w:pPr>
              <w:jc w:val="center"/>
            </w:pPr>
            <w:r>
              <w:rPr>
                <w:sz w:val="14"/>
              </w:rPr>
              <w:t>14</w:t>
            </w:r>
          </w:p>
        </w:tc>
        <w:tc>
          <w:tcPr>
            <w:tcW w:type="dxa" w:w="720"/>
            <w:vAlign w:val="center"/>
            <w:tcMar>
              <w:top w:w="75" w:type="dxa"/>
              <w:start w:w="75" w:type="dxa"/>
              <w:bottom w:w="75" w:type="dxa"/>
              <w:end w:w="75" w:type="dxa"/>
            </w:tcMar>
            <w:shd w:fill="F0F5F5"/>
          </w:tcPr>
          <w:p>
            <w:pPr>
              <w:jc w:val="center"/>
            </w:pPr>
            <w:r>
              <w:rPr>
                <w:sz w:val="14"/>
              </w:rPr>
              <w:t>1</w:t>
            </w:r>
          </w:p>
        </w:tc>
        <w:tc>
          <w:tcPr>
            <w:tcW w:type="dxa" w:w="720"/>
            <w:vAlign w:val="center"/>
            <w:tcMar>
              <w:top w:w="75" w:type="dxa"/>
              <w:start w:w="75" w:type="dxa"/>
              <w:bottom w:w="75" w:type="dxa"/>
              <w:end w:w="75" w:type="dxa"/>
            </w:tcMar>
            <w:shd w:fill="F0F5F5"/>
          </w:tcPr>
          <w:p>
            <w:pPr>
              <w:jc w:val="center"/>
            </w:pPr>
            <w:r>
              <w:rPr>
                <w:sz w:val="14"/>
              </w:rPr>
              <w:t>10</w:t>
            </w:r>
          </w:p>
        </w:tc>
        <w:tc>
          <w:tcPr>
            <w:tcW w:type="dxa" w:w="1512"/>
            <w:vAlign w:val="center"/>
            <w:tcMar>
              <w:top w:w="75" w:type="dxa"/>
              <w:start w:w="75" w:type="dxa"/>
              <w:bottom w:w="75" w:type="dxa"/>
              <w:end w:w="75" w:type="dxa"/>
            </w:tcMar>
            <w:shd w:fill="F0F5F5"/>
          </w:tcPr>
          <w:p>
            <w:pPr>
              <w:jc w:val="center"/>
            </w:pPr>
            <w:r>
              <w:rPr>
                <w:sz w:val="14"/>
              </w:rPr>
              <w:t>0.3419 ± 0.0029</w:t>
            </w:r>
          </w:p>
        </w:tc>
        <w:tc>
          <w:tcPr>
            <w:tcW w:type="dxa" w:w="1411"/>
            <w:vAlign w:val="center"/>
            <w:tcMar>
              <w:top w:w="75" w:type="dxa"/>
              <w:start w:w="75" w:type="dxa"/>
              <w:bottom w:w="75" w:type="dxa"/>
              <w:end w:w="75" w:type="dxa"/>
            </w:tcMar>
            <w:shd w:fill="F0F5F5"/>
          </w:tcPr>
          <w:p>
            <w:pPr>
              <w:jc w:val="center"/>
            </w:pPr>
            <w:r>
              <w:rPr>
                <w:sz w:val="14"/>
              </w:rPr>
              <w:t>0.2127 ± 0.0124</w:t>
            </w:r>
          </w:p>
        </w:tc>
        <w:tc>
          <w:tcPr>
            <w:tcW w:type="dxa" w:w="1123"/>
            <w:vAlign w:val="center"/>
            <w:tcMar>
              <w:top w:w="75" w:type="dxa"/>
              <w:start w:w="75" w:type="dxa"/>
              <w:bottom w:w="75" w:type="dxa"/>
              <w:end w:w="75" w:type="dxa"/>
            </w:tcMar>
            <w:shd w:fill="F0F5F5"/>
          </w:tcPr>
          <w:p>
            <w:pPr>
              <w:jc w:val="center"/>
            </w:pPr>
            <w:r>
              <w:rPr>
                <w:sz w:val="14"/>
              </w:rPr>
              <w:t>0.7365</w:t>
            </w:r>
          </w:p>
        </w:tc>
      </w:tr>
      <w:tr>
        <w:tc>
          <w:tcPr>
            <w:tcW w:type="dxa" w:w="2131"/>
            <w:vAlign w:val="center"/>
            <w:tcMar>
              <w:top w:w="75" w:type="dxa"/>
              <w:start w:w="75" w:type="dxa"/>
              <w:bottom w:w="75" w:type="dxa"/>
              <w:end w:w="75" w:type="dxa"/>
            </w:tcMar>
          </w:tcPr>
          <w:p>
            <w:pPr>
              <w:jc w:val="left"/>
            </w:pPr>
            <w:r>
              <w:rPr>
                <w:sz w:val="14"/>
              </w:rPr>
              <w:t>Elastic Net</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0.3421 ± 0.0022</w:t>
            </w:r>
          </w:p>
        </w:tc>
        <w:tc>
          <w:tcPr>
            <w:tcW w:type="dxa" w:w="1411"/>
            <w:vAlign w:val="center"/>
            <w:tcMar>
              <w:top w:w="75" w:type="dxa"/>
              <w:start w:w="75" w:type="dxa"/>
              <w:bottom w:w="75" w:type="dxa"/>
              <w:end w:w="75" w:type="dxa"/>
            </w:tcMar>
          </w:tcPr>
          <w:p>
            <w:pPr>
              <w:jc w:val="center"/>
            </w:pPr>
            <w:r>
              <w:rPr>
                <w:sz w:val="14"/>
              </w:rPr>
              <w:t>0.2118 ± 0.0099</w:t>
            </w:r>
          </w:p>
        </w:tc>
        <w:tc>
          <w:tcPr>
            <w:tcW w:type="dxa" w:w="1123"/>
            <w:vAlign w:val="center"/>
            <w:tcMar>
              <w:top w:w="75" w:type="dxa"/>
              <w:start w:w="75" w:type="dxa"/>
              <w:bottom w:w="75" w:type="dxa"/>
              <w:end w:w="75" w:type="dxa"/>
            </w:tcMar>
          </w:tcPr>
          <w:p>
            <w:pPr>
              <w:jc w:val="center"/>
            </w:pPr>
            <w:r>
              <w:rPr>
                <w:sz w:val="14"/>
              </w:rPr>
              <w:t>0.7411</w:t>
            </w:r>
          </w:p>
        </w:tc>
      </w:tr>
      <w:tr>
        <w:tc>
          <w:tcPr>
            <w:tcW w:type="dxa" w:w="2131"/>
            <w:vAlign w:val="center"/>
            <w:tcMar>
              <w:top w:w="75" w:type="dxa"/>
              <w:start w:w="75" w:type="dxa"/>
              <w:bottom w:w="75" w:type="dxa"/>
              <w:end w:w="75" w:type="dxa"/>
            </w:tcMar>
            <w:shd w:fill="F0F5F5"/>
          </w:tcPr>
          <w:p>
            <w:pPr>
              <w:jc w:val="left"/>
            </w:pPr>
            <w:r>
              <w:rPr>
                <w:sz w:val="14"/>
              </w:rPr>
              <w:t>Lasso</w:t>
            </w:r>
          </w:p>
        </w:tc>
        <w:tc>
          <w:tcPr>
            <w:tcW w:type="dxa" w:w="720"/>
            <w:vAlign w:val="center"/>
            <w:tcMar>
              <w:top w:w="75" w:type="dxa"/>
              <w:start w:w="75" w:type="dxa"/>
              <w:bottom w:w="75" w:type="dxa"/>
              <w:end w:w="75" w:type="dxa"/>
            </w:tcMar>
            <w:shd w:fill="F0F5F5"/>
          </w:tcPr>
          <w:p>
            <w:pPr>
              <w:jc w:val="center"/>
            </w:pPr>
            <w:r>
              <w:rPr>
                <w:sz w:val="14"/>
              </w:rPr>
              <w:t>14</w:t>
            </w:r>
          </w:p>
        </w:tc>
        <w:tc>
          <w:tcPr>
            <w:tcW w:type="dxa" w:w="720"/>
            <w:vAlign w:val="center"/>
            <w:tcMar>
              <w:top w:w="75" w:type="dxa"/>
              <w:start w:w="75" w:type="dxa"/>
              <w:bottom w:w="75" w:type="dxa"/>
              <w:end w:w="75" w:type="dxa"/>
            </w:tcMar>
            <w:shd w:fill="F0F5F5"/>
          </w:tcPr>
          <w:p>
            <w:pPr>
              <w:jc w:val="center"/>
            </w:pPr>
            <w:r>
              <w:rPr>
                <w:sz w:val="14"/>
              </w:rPr>
              <w:t>1</w:t>
            </w:r>
          </w:p>
        </w:tc>
        <w:tc>
          <w:tcPr>
            <w:tcW w:type="dxa" w:w="720"/>
            <w:vAlign w:val="center"/>
            <w:tcMar>
              <w:top w:w="75" w:type="dxa"/>
              <w:start w:w="75" w:type="dxa"/>
              <w:bottom w:w="75" w:type="dxa"/>
              <w:end w:w="75" w:type="dxa"/>
            </w:tcMar>
            <w:shd w:fill="F0F5F5"/>
          </w:tcPr>
          <w:p>
            <w:pPr>
              <w:jc w:val="center"/>
            </w:pPr>
            <w:r>
              <w:rPr>
                <w:sz w:val="14"/>
              </w:rPr>
              <w:t>10</w:t>
            </w:r>
          </w:p>
        </w:tc>
        <w:tc>
          <w:tcPr>
            <w:tcW w:type="dxa" w:w="1512"/>
            <w:vAlign w:val="center"/>
            <w:tcMar>
              <w:top w:w="75" w:type="dxa"/>
              <w:start w:w="75" w:type="dxa"/>
              <w:bottom w:w="75" w:type="dxa"/>
              <w:end w:w="75" w:type="dxa"/>
            </w:tcMar>
            <w:shd w:fill="F0F5F5"/>
          </w:tcPr>
          <w:p>
            <w:pPr>
              <w:jc w:val="center"/>
            </w:pPr>
            <w:r>
              <w:rPr>
                <w:sz w:val="14"/>
              </w:rPr>
              <w:t>0.3434 ± 0.0021</w:t>
            </w:r>
          </w:p>
        </w:tc>
        <w:tc>
          <w:tcPr>
            <w:tcW w:type="dxa" w:w="1411"/>
            <w:vAlign w:val="center"/>
            <w:tcMar>
              <w:top w:w="75" w:type="dxa"/>
              <w:start w:w="75" w:type="dxa"/>
              <w:bottom w:w="75" w:type="dxa"/>
              <w:end w:w="75" w:type="dxa"/>
            </w:tcMar>
            <w:shd w:fill="F0F5F5"/>
          </w:tcPr>
          <w:p>
            <w:pPr>
              <w:jc w:val="center"/>
            </w:pPr>
            <w:r>
              <w:rPr>
                <w:sz w:val="14"/>
              </w:rPr>
              <w:t>0.2059 ± 0.0097</w:t>
            </w:r>
          </w:p>
        </w:tc>
        <w:tc>
          <w:tcPr>
            <w:tcW w:type="dxa" w:w="1123"/>
            <w:vAlign w:val="center"/>
            <w:tcMar>
              <w:top w:w="75" w:type="dxa"/>
              <w:start w:w="75" w:type="dxa"/>
              <w:bottom w:w="75" w:type="dxa"/>
              <w:end w:w="75" w:type="dxa"/>
            </w:tcMar>
            <w:shd w:fill="F0F5F5"/>
          </w:tcPr>
          <w:p>
            <w:pPr>
              <w:jc w:val="center"/>
            </w:pPr>
            <w:r>
              <w:rPr>
                <w:sz w:val="14"/>
              </w:rPr>
              <w:t>0.7404</w:t>
            </w:r>
          </w:p>
        </w:tc>
      </w:tr>
      <w:tr>
        <w:tc>
          <w:tcPr>
            <w:tcW w:type="dxa" w:w="2131"/>
            <w:vAlign w:val="center"/>
            <w:tcMar>
              <w:top w:w="75" w:type="dxa"/>
              <w:start w:w="75" w:type="dxa"/>
              <w:bottom w:w="75" w:type="dxa"/>
              <w:end w:w="75" w:type="dxa"/>
            </w:tcMar>
          </w:tcPr>
          <w:p>
            <w:pPr>
              <w:jc w:val="left"/>
            </w:pPr>
            <w:r>
              <w:rPr>
                <w:sz w:val="14"/>
              </w:rPr>
              <w:t>KNN Regression</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0.3536 ± 0.0024</w:t>
            </w:r>
          </w:p>
        </w:tc>
        <w:tc>
          <w:tcPr>
            <w:tcW w:type="dxa" w:w="1411"/>
            <w:vAlign w:val="center"/>
            <w:tcMar>
              <w:top w:w="75" w:type="dxa"/>
              <w:start w:w="75" w:type="dxa"/>
              <w:bottom w:w="75" w:type="dxa"/>
              <w:end w:w="75" w:type="dxa"/>
            </w:tcMar>
          </w:tcPr>
          <w:p>
            <w:pPr>
              <w:jc w:val="center"/>
            </w:pPr>
            <w:r>
              <w:rPr>
                <w:sz w:val="14"/>
              </w:rPr>
              <w:t>0.1581 ± 0.0117</w:t>
            </w:r>
          </w:p>
        </w:tc>
        <w:tc>
          <w:tcPr>
            <w:tcW w:type="dxa" w:w="1123"/>
            <w:vAlign w:val="center"/>
            <w:tcMar>
              <w:top w:w="75" w:type="dxa"/>
              <w:start w:w="75" w:type="dxa"/>
              <w:bottom w:w="75" w:type="dxa"/>
              <w:end w:w="75" w:type="dxa"/>
            </w:tcMar>
          </w:tcPr>
          <w:p>
            <w:pPr>
              <w:jc w:val="center"/>
            </w:pPr>
            <w:r>
              <w:rPr>
                <w:sz w:val="14"/>
              </w:rPr>
              <w:t>0.7148</w:t>
            </w:r>
          </w:p>
        </w:tc>
      </w:tr>
      <w:tr>
        <w:tc>
          <w:tcPr>
            <w:tcW w:type="dxa" w:w="2131"/>
            <w:vAlign w:val="center"/>
            <w:tcMar>
              <w:top w:w="75" w:type="dxa"/>
              <w:start w:w="75" w:type="dxa"/>
              <w:bottom w:w="75" w:type="dxa"/>
              <w:end w:w="75" w:type="dxa"/>
            </w:tcMar>
            <w:shd w:fill="F0F5F5"/>
          </w:tcPr>
          <w:p>
            <w:pPr>
              <w:jc w:val="left"/>
            </w:pPr>
            <w:r>
              <w:rPr>
                <w:sz w:val="14"/>
              </w:rPr>
              <w:t>Adaptive Boosting</w:t>
            </w:r>
          </w:p>
        </w:tc>
        <w:tc>
          <w:tcPr>
            <w:tcW w:type="dxa" w:w="720"/>
            <w:vAlign w:val="center"/>
            <w:tcMar>
              <w:top w:w="75" w:type="dxa"/>
              <w:start w:w="75" w:type="dxa"/>
              <w:bottom w:w="75" w:type="dxa"/>
              <w:end w:w="75" w:type="dxa"/>
            </w:tcMar>
            <w:shd w:fill="F0F5F5"/>
          </w:tcPr>
          <w:p>
            <w:pPr>
              <w:jc w:val="center"/>
            </w:pPr>
            <w:r>
              <w:rPr>
                <w:sz w:val="14"/>
              </w:rPr>
              <w:t>14</w:t>
            </w:r>
          </w:p>
        </w:tc>
        <w:tc>
          <w:tcPr>
            <w:tcW w:type="dxa" w:w="720"/>
            <w:vAlign w:val="center"/>
            <w:tcMar>
              <w:top w:w="75" w:type="dxa"/>
              <w:start w:w="75" w:type="dxa"/>
              <w:bottom w:w="75" w:type="dxa"/>
              <w:end w:w="75" w:type="dxa"/>
            </w:tcMar>
            <w:shd w:fill="F0F5F5"/>
          </w:tcPr>
          <w:p>
            <w:pPr>
              <w:jc w:val="center"/>
            </w:pPr>
            <w:r>
              <w:rPr>
                <w:sz w:val="14"/>
              </w:rPr>
              <w:t>1</w:t>
            </w:r>
          </w:p>
        </w:tc>
        <w:tc>
          <w:tcPr>
            <w:tcW w:type="dxa" w:w="720"/>
            <w:vAlign w:val="center"/>
            <w:tcMar>
              <w:top w:w="75" w:type="dxa"/>
              <w:start w:w="75" w:type="dxa"/>
              <w:bottom w:w="75" w:type="dxa"/>
              <w:end w:w="75" w:type="dxa"/>
            </w:tcMar>
            <w:shd w:fill="F0F5F5"/>
          </w:tcPr>
          <w:p>
            <w:pPr>
              <w:jc w:val="center"/>
            </w:pPr>
            <w:r>
              <w:rPr>
                <w:sz w:val="14"/>
              </w:rPr>
              <w:t>10</w:t>
            </w:r>
          </w:p>
        </w:tc>
        <w:tc>
          <w:tcPr>
            <w:tcW w:type="dxa" w:w="1512"/>
            <w:vAlign w:val="center"/>
            <w:tcMar>
              <w:top w:w="75" w:type="dxa"/>
              <w:start w:w="75" w:type="dxa"/>
              <w:bottom w:w="75" w:type="dxa"/>
              <w:end w:w="75" w:type="dxa"/>
            </w:tcMar>
            <w:shd w:fill="F0F5F5"/>
          </w:tcPr>
          <w:p>
            <w:pPr>
              <w:jc w:val="center"/>
            </w:pPr>
            <w:r>
              <w:rPr>
                <w:sz w:val="14"/>
              </w:rPr>
              <w:t>0.3540 ± 0.0025</w:t>
            </w:r>
          </w:p>
        </w:tc>
        <w:tc>
          <w:tcPr>
            <w:tcW w:type="dxa" w:w="1411"/>
            <w:vAlign w:val="center"/>
            <w:tcMar>
              <w:top w:w="75" w:type="dxa"/>
              <w:start w:w="75" w:type="dxa"/>
              <w:bottom w:w="75" w:type="dxa"/>
              <w:end w:w="75" w:type="dxa"/>
            </w:tcMar>
            <w:shd w:fill="F0F5F5"/>
          </w:tcPr>
          <w:p>
            <w:pPr>
              <w:jc w:val="center"/>
            </w:pPr>
            <w:r>
              <w:rPr>
                <w:sz w:val="14"/>
              </w:rPr>
              <w:t>0.1561 ± 0.0118</w:t>
            </w:r>
          </w:p>
        </w:tc>
        <w:tc>
          <w:tcPr>
            <w:tcW w:type="dxa" w:w="1123"/>
            <w:vAlign w:val="center"/>
            <w:tcMar>
              <w:top w:w="75" w:type="dxa"/>
              <w:start w:w="75" w:type="dxa"/>
              <w:bottom w:w="75" w:type="dxa"/>
              <w:end w:w="75" w:type="dxa"/>
            </w:tcMar>
            <w:shd w:fill="F0F5F5"/>
          </w:tcPr>
          <w:p>
            <w:pPr>
              <w:jc w:val="center"/>
            </w:pPr>
            <w:r>
              <w:rPr>
                <w:sz w:val="14"/>
              </w:rPr>
              <w:t>0.7407</w:t>
            </w:r>
          </w:p>
        </w:tc>
      </w:tr>
      <w:tr>
        <w:tc>
          <w:tcPr>
            <w:tcW w:type="dxa" w:w="2131"/>
            <w:vAlign w:val="center"/>
            <w:tcMar>
              <w:top w:w="75" w:type="dxa"/>
              <w:start w:w="75" w:type="dxa"/>
              <w:bottom w:w="75" w:type="dxa"/>
              <w:end w:w="75" w:type="dxa"/>
            </w:tcMar>
          </w:tcPr>
          <w:p>
            <w:pPr>
              <w:jc w:val="left"/>
            </w:pPr>
            <w:r>
              <w:rPr>
                <w:sz w:val="14"/>
              </w:rPr>
              <w:t>Extra Trees Regression</w:t>
            </w:r>
          </w:p>
        </w:tc>
        <w:tc>
          <w:tcPr>
            <w:tcW w:type="dxa" w:w="720"/>
            <w:vAlign w:val="center"/>
            <w:tcMar>
              <w:top w:w="75" w:type="dxa"/>
              <w:start w:w="75" w:type="dxa"/>
              <w:bottom w:w="75" w:type="dxa"/>
              <w:end w:w="75" w:type="dxa"/>
            </w:tcMar>
          </w:tcPr>
          <w:p>
            <w:pPr>
              <w:jc w:val="center"/>
            </w:pPr>
            <w:r>
              <w:rPr>
                <w:sz w:val="14"/>
              </w:rPr>
              <w:t>14</w:t>
            </w:r>
          </w:p>
        </w:tc>
        <w:tc>
          <w:tcPr>
            <w:tcW w:type="dxa" w:w="720"/>
            <w:vAlign w:val="center"/>
            <w:tcMar>
              <w:top w:w="75" w:type="dxa"/>
              <w:start w:w="75" w:type="dxa"/>
              <w:bottom w:w="75" w:type="dxa"/>
              <w:end w:w="75" w:type="dxa"/>
            </w:tcMar>
          </w:tcPr>
          <w:p>
            <w:pPr>
              <w:jc w:val="center"/>
            </w:pPr>
            <w:r>
              <w:rPr>
                <w:sz w:val="14"/>
              </w:rPr>
              <w:t>1</w:t>
            </w:r>
          </w:p>
        </w:tc>
        <w:tc>
          <w:tcPr>
            <w:tcW w:type="dxa" w:w="720"/>
            <w:vAlign w:val="center"/>
            <w:tcMar>
              <w:top w:w="75" w:type="dxa"/>
              <w:start w:w="75" w:type="dxa"/>
              <w:bottom w:w="75" w:type="dxa"/>
              <w:end w:w="75" w:type="dxa"/>
            </w:tcMar>
          </w:tcPr>
          <w:p>
            <w:pPr>
              <w:jc w:val="center"/>
            </w:pPr>
            <w:r>
              <w:rPr>
                <w:sz w:val="14"/>
              </w:rPr>
              <w:t>10</w:t>
            </w:r>
          </w:p>
        </w:tc>
        <w:tc>
          <w:tcPr>
            <w:tcW w:type="dxa" w:w="1512"/>
            <w:vAlign w:val="center"/>
            <w:tcMar>
              <w:top w:w="75" w:type="dxa"/>
              <w:start w:w="75" w:type="dxa"/>
              <w:bottom w:w="75" w:type="dxa"/>
              <w:end w:w="75" w:type="dxa"/>
            </w:tcMar>
          </w:tcPr>
          <w:p>
            <w:pPr>
              <w:jc w:val="center"/>
            </w:pPr>
            <w:r>
              <w:rPr>
                <w:sz w:val="14"/>
              </w:rPr>
              <w:t>0.3545 ± 0.0032</w:t>
            </w:r>
          </w:p>
        </w:tc>
        <w:tc>
          <w:tcPr>
            <w:tcW w:type="dxa" w:w="1411"/>
            <w:vAlign w:val="center"/>
            <w:tcMar>
              <w:top w:w="75" w:type="dxa"/>
              <w:start w:w="75" w:type="dxa"/>
              <w:bottom w:w="75" w:type="dxa"/>
              <w:end w:w="75" w:type="dxa"/>
            </w:tcMar>
          </w:tcPr>
          <w:p>
            <w:pPr>
              <w:jc w:val="center"/>
            </w:pPr>
            <w:r>
              <w:rPr>
                <w:sz w:val="14"/>
              </w:rPr>
              <w:t>0.1538 ± 0.0148</w:t>
            </w:r>
          </w:p>
        </w:tc>
        <w:tc>
          <w:tcPr>
            <w:tcW w:type="dxa" w:w="1123"/>
            <w:vAlign w:val="center"/>
            <w:tcMar>
              <w:top w:w="75" w:type="dxa"/>
              <w:start w:w="75" w:type="dxa"/>
              <w:bottom w:w="75" w:type="dxa"/>
              <w:end w:w="75" w:type="dxa"/>
            </w:tcMar>
          </w:tcPr>
          <w:p>
            <w:pPr>
              <w:jc w:val="center"/>
            </w:pPr>
            <w:r>
              <w:rPr>
                <w:sz w:val="14"/>
              </w:rPr>
              <w:t>0.7220</w:t>
            </w:r>
          </w:p>
        </w:tc>
      </w:tr>
    </w:tbl>
    <w:p>
      <w:pPr>
        <w:spacing w:before="80" w:after="100"/>
      </w:pPr>
      <w:r>
        <w:rPr>
          <w:i/>
          <w:sz w:val="16"/>
        </w:rPr>
        <w:t>Note. All models used 14 predictors, one binary implicit-relevance target, and ten GroupKFold folds grouped by user. Lower RMSE and higher R²/NDCG@10 are preferred. SD is the standard deviation across folds. Negative labels are sampled non-purchases, not observed dislikes.</w:t>
      </w:r>
    </w:p>
    <w:p>
      <w:pPr>
        <w:spacing w:before="40" w:after="0"/>
        <w:jc w:val="center"/>
      </w:pPr>
      <w:r>
        <w:drawing>
          <wp:inline xmlns:a="http://schemas.openxmlformats.org/drawingml/2006/main" xmlns:pic="http://schemas.openxmlformats.org/drawingml/2006/picture">
            <wp:extent cx="5394960" cy="3639333"/>
            <wp:docPr id="1" name="Picture 1"/>
            <wp:cNvGraphicFramePr>
              <a:graphicFrameLocks noChangeAspect="1"/>
            </wp:cNvGraphicFramePr>
            <a:graphic>
              <a:graphicData uri="http://schemas.openxmlformats.org/drawingml/2006/picture">
                <pic:pic>
                  <pic:nvPicPr>
                    <pic:cNvPr id="0" name="rmse_comparison.png"/>
                    <pic:cNvPicPr/>
                  </pic:nvPicPr>
                  <pic:blipFill>
                    <a:blip r:embed="rId9"/>
                    <a:stretch>
                      <a:fillRect/>
                    </a:stretch>
                  </pic:blipFill>
                  <pic:spPr>
                    <a:xfrm>
                      <a:off x="0" y="0"/>
                      <a:ext cx="5394960" cy="3639333"/>
                    </a:xfrm>
                    <a:prstGeom prst="rect"/>
                  </pic:spPr>
                </pic:pic>
              </a:graphicData>
            </a:graphic>
          </wp:inline>
        </w:drawing>
      </w:r>
    </w:p>
    <w:p>
      <w:pPr>
        <w:jc w:val="center"/>
      </w:pPr>
      <w:r>
        <w:rPr>
          <w:i/>
          <w:sz w:val="16"/>
        </w:rPr>
        <w:t>Figure 1. Mean ten-fold RMSE; error bars show one standard deviation.</w:t>
      </w:r>
    </w:p>
    <w:p>
      <w:pPr>
        <w:widowControl/>
        <w:jc w:val="both"/>
      </w:pPr>
      <w:r>
        <w:t>The highest R² explains about one quarter of the fold-wise variation in sampled labels relative to a mean-only estimate. The remaining variation is substantial. Further, the label measures a distinction between an observed later purchase and a constructed, unpurchased candidate. R² therefore does not mean that the model explains one quarter of actual consumer choice or marketplace revenue. An unobserved candidate may be relevant but undisplayed; purchase intent is also affected by price changes, availability, shipping, promotion, and other factors absent from the file.</w:t>
      </w:r>
    </w:p>
    <w:p>
      <w:pPr>
        <w:widowControl/>
        <w:jc w:val="both"/>
      </w:pPr>
      <w:r>
        <w:t>Fold standard deviations describe dispersion across these constructed user partitions, not confidence intervals for all future shoppers. The folds share one historical feature table and one candidate-generation policy. They therefore capture only one layer of uncertainty. Sampling other users, shifting the date boundary, or changing the negative candidates may produce different metric values and a different model order.</w:t>
      </w:r>
    </w:p>
    <w:p>
      <w:pPr>
        <w:widowControl/>
        <w:jc w:val="both"/>
      </w:pPr>
      <w:r>
        <w:t>The regularized linear models are competitive baselines. Ridge produced RMSE 0.3419 ± 0.0029 and R² 0.2127 ± 0.0124; Elastic Net achieved 0.3421 ± 0.0022 and R² 0.2118 ± 0.0099; Lasso reached 0.3434 ± 0.0021 and R² 0.2059 ± 0.0097. The leading boosting models performed better on row-wise error for this feature and candidate design. One plausible explanation is that they model threshold effects or interactions among popularity, category, price, and user affinities. The experiment did not use feature ablation, so this interpretation remains a hypothesis. The linear models are easier to audit and substantially faster to fit, which matters in a deployment decision that includes operational cost.</w:t>
      </w:r>
    </w:p>
    <w:p>
      <w:pPr>
        <w:widowControl/>
        <w:jc w:val="both"/>
      </w:pPr>
      <w:r>
        <w:t>KNN, AdaBoost, and Extra Trees had the largest average errors: 0.3536, 0.3540, and 0.3545, respectively. Their R² values were 0.1581, 0.1561, and 0.1538. KNN can be disadvantaged when category and brand features become sparse one-hot vectors and distances no longer reflect user similarity well. The tree configurations may need different depth, leaf, or sampling settings to exploit these data. These interpretations are not causal findings; model-specific hyperparameter tuning might change the ordering. The results compare one fixed configuration per algorithm under equal data, not a budget-matched search for each model's best score.</w:t>
      </w:r>
    </w:p>
    <w:p>
      <w:pPr>
        <w:widowControl/>
        <w:jc w:val="both"/>
      </w:pPr>
      <w:r>
        <w:t>Gradient Boosting Regression achieved the best NDCG@10 at 0.7467, followed by XGBoost and CatBoost at 0.7444 each; LightGBM had 0.7431 despite the lowest RMSE. This is a modest but useful demonstration that score calibration and list ordering measure different behaviour. RMSE is accumulated over candidate rows. NDCG rewards placing positives closer to the top of each user's list. If the practical purpose is to recommend a small product shelf, ranking quality may be more useful than numeric prediction error, and model selection should align with that objective.</w:t>
      </w:r>
    </w:p>
    <w:p>
      <w:pPr>
        <w:widowControl/>
        <w:jc w:val="both"/>
      </w:pPr>
      <w:r>
        <w:t>HitRate@10 ranges only from 0.9131 to 0.9144 across the methods. Its high, tightly clustered values should be interpreted in light of the sampled candidate lists, which include approximately four assumed negatives per positive. A hit means at least one positive appears in a user's first ten positions; it says nothing about the share of all relevant products retrieved from a complete store catalogue. NDCG differentiates rank position and gives a wider spread. A next study should add full-catalog Recall@K and Precision@K, coverage, novelty, and diversity using a candidate pool reconstructed from what was actually available to each user.</w:t>
      </w:r>
    </w:p>
    <w:p>
      <w:pPr>
        <w:widowControl/>
        <w:jc w:val="both"/>
      </w:pPr>
      <w:r>
        <w:t>Historical popularity predictors can help with sparse user histories, but popularity also shapes future exposure. Repeatedly recommending products with the largest historical counts may reduce opportunities for niche goods and sellers. Research on recommender popularity bias describes this as a distinct concern from top-line accuracy [6, 11]. Since this benchmark did not calculate exposure allocation or catalogue coverage, it cannot determine whether a model improves discovery fairly. Follow-up analyses should report how often each product, seller, and popularity segment appears in lists; compare coverage and novelty; and test re-ranking constraints alongside relevance.</w:t>
      </w:r>
    </w:p>
    <w:p>
      <w:pPr>
        <w:widowControl/>
        <w:jc w:val="both"/>
      </w:pPr>
      <w:r>
        <w:t>The first major validity limitation is missing user identifiers. More than three quarters of source rows lack a user ID, and the personalized study excludes them. If anonymous visitors behave differently, scores on the retained users will not transfer. Second, the source includes purchases but not impressions. Treating a non-purchase as a zero creates false negatives whenever an item was unseen or considered but not bought. Negative-sampling research emphasizes that this choice can change apparent algorithm performance [5, 7]. Third, the later candidate pool was sampled rather than drawn from a complete available inventory. The metric results consequently depend on the negative ratio, category preference, and exclusion rules.</w:t>
      </w:r>
    </w:p>
    <w:p>
      <w:pPr>
        <w:widowControl/>
        <w:jc w:val="both"/>
      </w:pPr>
      <w:r>
        <w:t>Other limits concern the model and validation design. Historical features were built once from a single pre-cutoff window, and all folds draw from the same later period. This prevents the target outcomes of held-out users from entering model training, but it does not test sequential retraining under changing demand. Model-specific configurations were fixed, not selected with validation search, and encoding choices differ where implementation requirements demand it. No multiple-seed sensitivity study or statistical comparison was performed. Results should be described as empirical performance of the recorded pipelines and settings rather than a definitive ranking of algorithm families.</w:t>
      </w:r>
    </w:p>
    <w:p>
      <w:pPr>
        <w:widowControl/>
        <w:jc w:val="both"/>
      </w:pPr>
      <w:r>
        <w:t>The experiment also omits operational constraints. It has no stock status, delivery promise, discount, seller quality, customer privacy controls, or policy for restricting the same products from repeated exposure. Scores might rank unavailable items, and a model could magnify the existing exposure patterns in its history. Online evaluation would require a safe allocation plan, explicit consent and privacy safeguards, and measurement of outcomes such as conversion, revenue, satisfaction, and seller exposure. The offline experiment does not measure those effects and does not justify automatic deployment.</w:t>
      </w:r>
    </w:p>
    <w:p>
      <w:pPr>
        <w:widowControl/>
        <w:jc w:val="both"/>
      </w:pPr>
      <w:r>
        <w:t>A practical extension would log recommendation impressions and the catalogue state at exposure. A chronological replay could then distinguish an unobserved item from one shown and skipped. A stronger follow-up would also tune on a separate validation window, test multiple seeds, measure full-catalog ranking and long-tail exposure, then evaluate conversion or satisfaction in an online experiment.</w:t>
      </w:r>
    </w:p>
    <w:p>
      <w:pPr>
        <w:pStyle w:val="Heading1"/>
      </w:pPr>
      <w:r>
        <w:t>Conclusion</w:t>
      </w:r>
    </w:p>
    <w:p>
      <w:pPr>
        <w:widowControl/>
        <w:jc w:val="both"/>
      </w:pPr>
      <w:r>
        <w:t>The study compared eleven required regression estimators on a Kazakhstan-related e-commerce purchase history extract using ten-fold user-grouped validation. LightGBM had the lowest RMSE and highest R² among the fixed configurations; XGBoost was effectively tied on error, and Gradient Boosting Regression ranked first on NDCG@10. The divergence demonstrates that row-level error and top-N ordering answer different questions. Results apply only to a sampled implicit-feedback benchmark: unpurchased candidates are assumed negatives, most source rows lack user identifiers, and the data dates from 2020. A stronger follow-up needs impression logs, broader candidate coverage, tuned baselines, and temporal evaluation. The course instructor must confirm dataset uniqueness for the lecture cohort.</w:t>
      </w:r>
    </w:p>
    <w:p>
      <w:pPr>
        <w:pStyle w:val="Heading1"/>
      </w:pPr>
      <w:r>
        <w:t>AI assistance and authorship note</w:t>
      </w:r>
    </w:p>
    <w:p>
      <w:pPr>
        <w:widowControl/>
        <w:jc w:val="both"/>
      </w:pPr>
      <w:r>
        <w:t>Generative AI assistance was used to prepare this draft, code, and slide narrative. No originality or similarity score was measured, and the assignment's statement that AI was not used cannot be certified for these artifacts. The student should verify the dataset's cohort uniqueness and licensing, independently check every citation and result, and follow the course policy before submission.</w:t>
      </w:r>
    </w:p>
    <w:p>
      <w:pPr>
        <w:pStyle w:val="Heading1"/>
      </w:pPr>
      <w:r>
        <w:t>References</w:t>
      </w:r>
    </w:p>
    <w:p>
      <w:pPr>
        <w:spacing w:after="40"/>
        <w:ind w:left="317" w:hanging="317"/>
      </w:pPr>
      <w:r>
        <w:rPr>
          <w:sz w:val="17"/>
        </w:rPr>
        <w:t>1. Bureau of National Statistics of the Republic of Kazakhstan. (2024). E-commerce in the Republic of Kazakhstan (2023). https://stat.gov.kz/en/industries/labor-and-income/stat-ags/publications/159348/; Ministry of Trade and Integration of the Republic of Kazakhstan. (2026). E-commerce in Kazakhstan has grown by more than 50% over three years. https://www.gov.kz/org/mti/press/news/details/1277488?lang=en</w:t>
      </w:r>
    </w:p>
    <w:p>
      <w:pPr>
        <w:spacing w:after="40"/>
        <w:ind w:left="317" w:hanging="317"/>
      </w:pPr>
      <w:r>
        <w:rPr>
          <w:sz w:val="17"/>
        </w:rPr>
        <w:t>2. Kechinov, M. (n.d.). eCommerce purchase history from electronics store [Data set]. Kaggle. https://www.kaggle.com/datasets/mkechinov/ecommerce-purchase-history-from-electronics-store</w:t>
      </w:r>
    </w:p>
    <w:p>
      <w:pPr>
        <w:spacing w:after="40"/>
        <w:ind w:left="317" w:hanging="317"/>
      </w:pPr>
      <w:r>
        <w:rPr>
          <w:sz w:val="17"/>
        </w:rPr>
        <w:t>3. Necula, S.-C., &amp; Păvăloaia, V.-D. (2023). AI-driven recommendations: A systematic review of the state of the art in e-commerce. Applied Sciences, 13(9), 5531. https://doi.org/10.3390/app13095531</w:t>
      </w:r>
    </w:p>
    <w:p>
      <w:pPr>
        <w:spacing w:after="40"/>
        <w:ind w:left="317" w:hanging="317"/>
      </w:pPr>
      <w:r>
        <w:rPr>
          <w:sz w:val="17"/>
        </w:rPr>
        <w:t>4. Zangerle, E., &amp; Bauer, C. (2022). Evaluating recommender systems: Survey and framework. ACM Computing Surveys, 55(8), Article 170. https://doi.org/10.1145/3556536</w:t>
      </w:r>
    </w:p>
    <w:p>
      <w:pPr>
        <w:spacing w:after="40"/>
        <w:ind w:left="317" w:hanging="317"/>
      </w:pPr>
      <w:r>
        <w:rPr>
          <w:sz w:val="17"/>
        </w:rPr>
        <w:t>5. Jain, K., &amp; Jindal, R. (2023). Sampling and noise filtering methods for recommender systems: A literature review. Engineering Applications of Artificial Intelligence, 122, 106129. https://doi.org/10.1016/j.engappai.2023.106129</w:t>
      </w:r>
    </w:p>
    <w:p>
      <w:pPr>
        <w:spacing w:after="40"/>
        <w:ind w:left="317" w:hanging="317"/>
      </w:pPr>
      <w:r>
        <w:rPr>
          <w:sz w:val="17"/>
        </w:rPr>
        <w:t>6. Yalcin, E., &amp; Bilge, A. (2022). Evaluating unfairness of popularity bias in recommender systems: A comprehensive user-centric analysis. Information Processing &amp; Management, 59(6), 103100. https://doi.org/10.1016/j.ipm.2022.103100</w:t>
      </w:r>
    </w:p>
    <w:p>
      <w:pPr>
        <w:spacing w:after="40"/>
        <w:ind w:left="317" w:hanging="317"/>
      </w:pPr>
      <w:r>
        <w:rPr>
          <w:sz w:val="17"/>
        </w:rPr>
        <w:t>7. Chen, C., Ma, W., Zhang, M., Wang, C., Liu, Y., &amp; Ma, S. (2023). Revisiting negative sampling vs. non-sampling in implicit recommendation. ACM Transactions on Information Systems, 41(1), Article 12. https://doi.org/10.1145/3522672</w:t>
      </w:r>
    </w:p>
    <w:p>
      <w:pPr>
        <w:spacing w:after="40"/>
        <w:ind w:left="317" w:hanging="317"/>
      </w:pPr>
      <w:r>
        <w:rPr>
          <w:sz w:val="17"/>
        </w:rPr>
        <w:t>8. Hidasi, B., &amp; Czapp, Á. T. (2023). Widespread flaws in offline evaluation of recommender systems. In Proceedings of the 17th ACM Conference on Recommender Systems (pp. 848–855). https://doi.org/10.1145/3604915.3608839</w:t>
      </w:r>
    </w:p>
    <w:p>
      <w:pPr>
        <w:spacing w:after="40"/>
        <w:ind w:left="317" w:hanging="317"/>
      </w:pPr>
      <w:r>
        <w:rPr>
          <w:sz w:val="17"/>
        </w:rPr>
        <w:t>9. Zhao, W. X., Lin, Z., Feng, Z., Wang, P., &amp; Wen, J.-R. (2023). A revisiting study of appropriate offline evaluation for top-N recommendation algorithms. ACM Transactions on Information Systems, 41(2), Article 32. https://doi.org/10.1145/3545796</w:t>
      </w:r>
    </w:p>
    <w:p>
      <w:pPr>
        <w:spacing w:after="40"/>
        <w:ind w:left="317" w:hanging="317"/>
      </w:pPr>
      <w:r>
        <w:rPr>
          <w:sz w:val="17"/>
        </w:rPr>
        <w:t>10. Gusak, D., Volodkevich, A., Klenitskiy, A., Vasilev, A., &amp; Frolov, E. (2025). Time to split: Exploring data splitting strategies for offline evaluation of sequential recommenders. In Proceedings of the 19th ACM Conference on Recommender Systems (pp. 874–883). https://doi.org/10.1145/3705328.3748164</w:t>
      </w:r>
    </w:p>
    <w:p>
      <w:pPr>
        <w:spacing w:after="40"/>
        <w:ind w:left="317" w:hanging="317"/>
      </w:pPr>
      <w:r>
        <w:rPr>
          <w:sz w:val="17"/>
        </w:rPr>
        <w:t>11. Klimashevskaia, A., Jannach, D., Elahi, M., &amp; Trattner, C. (2024). A survey on popularity bias in recommender systems. User Modeling and User-Adapted Interaction, 34, 1777–1834. https://doi.org/10.1007/s11257-024-09406-0</w:t>
      </w:r>
    </w:p>
    <w:p>
      <w:pPr>
        <w:spacing w:after="40"/>
        <w:ind w:left="317" w:hanging="317"/>
      </w:pPr>
      <w:r>
        <w:rPr>
          <w:sz w:val="17"/>
        </w:rPr>
        <w:t>12. Ekstrand, M. D., Carterette, B., &amp; Diaz, F. (2024). Distributionally-informed recommender system evaluation. ACM Transactions on Recommender Systems, 2(1), Article 6. https://doi.org/10.1145/3613455</w:t>
      </w:r>
    </w:p>
    <w:p>
      <w:pPr>
        <w:spacing w:after="40"/>
        <w:ind w:left="317" w:hanging="317"/>
      </w:pPr>
      <w:r>
        <w:rPr>
          <w:sz w:val="17"/>
        </w:rPr>
        <w:t>13. Chen, T., &amp; Guestrin, C. (2016). XGBoost: A scalable tree boosting system. In Proceedings of the 22nd ACM SIGKDD International Conference on Knowledge Discovery and Data Mining (pp. 785–794). https://doi.org/10.1145/2939672.2939785</w:t>
      </w:r>
    </w:p>
    <w:p>
      <w:pPr>
        <w:spacing w:after="40"/>
        <w:ind w:left="317" w:hanging="317"/>
      </w:pPr>
      <w:r>
        <w:rPr>
          <w:sz w:val="17"/>
        </w:rPr>
        <w:t>14. Ke, G., Meng, Q., Finley, T., Wang, T., Chen, W., Ma, W., Ye, Q., &amp; Liu, T.-Y. (2017). LightGBM: A highly efficient gradient boosting decision tree. Advances in Neural Information Processing Systems, 30.</w:t>
      </w:r>
    </w:p>
    <w:p>
      <w:pPr>
        <w:spacing w:after="40"/>
        <w:ind w:left="317" w:hanging="317"/>
      </w:pPr>
      <w:r>
        <w:rPr>
          <w:sz w:val="17"/>
        </w:rPr>
        <w:t>15. Prokhorenkova, L., Gusev, G., Vorobev, A., Dorogush, A. V., &amp; Gulin, A. (2018). CatBoost: Unbiased boosting with categorical features. Advances in Neural Information Processing Systems, 31.</w:t>
      </w:r>
    </w:p>
    <w:sectPr w:rsidR="00FC693F" w:rsidRPr="0006063C" w:rsidSect="00034616">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color w:val="1822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