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Rocket Lab | Propulsion Design Intern,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Check before applying: </w:t>
      </w:r>
      <w:r>
        <w:rPr>
          <w:rFonts w:ascii="Calibri" w:cs="Calibri" w:eastAsia="Calibri" w:hAnsi="Calibri"/>
          <w:b/>
          <w:bCs/>
          <w:sz w:val="21"/>
          <w:szCs w:val="21"/>
        </w:rPr>
        <w:t xml:space="preserve">Rocket Lab wants 12 or more consecutive weeks starting in January, February, or March 2027, so pick your start date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Rocket Lab?</w:t>
      </w:r>
    </w:p>
    <w:p>
      <w:pPr>
        <w:spacing w:after="240"/>
      </w:pPr>
      <w:r>
        <w:rPr>
          <w:rFonts w:ascii="Calibri" w:cs="Calibri" w:eastAsia="Calibri" w:hAnsi="Calibri"/>
          <w:sz w:val="22"/>
          <w:szCs w:val="22"/>
        </w:rPr>
        <w:t xml:space="preserve">Rocket Lab builds launch vehicles and spacecraft under one roof, so engineers see hardware go from design through build and test. My NASA hardware integration and my aerospace minor fit that way of working. I am certified in SolidWorks and Siemens NX, and I have completed Thermodynamics and Fluid Mechanics.</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Hallam-ICS I developed process gas, cooling water, and exhaust system layouts for semiconductor and research facilities. I produced fabrication-ready construction drawings in Revit and AutoCAD, supported P&amp;ID and equipment cut-sheet reviews, and worked with senior engineers through design review cycles and commissioning documentation.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