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Rocket Lab | Turbomachinery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Rocket Lab wants 12 or more consecutive weeks starting in January, February, or March 2027, so pick your start date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Rocket Lab?</w:t>
      </w:r>
    </w:p>
    <w:p>
      <w:pPr>
        <w:spacing w:after="240"/>
      </w:pPr>
      <w:r>
        <w:rPr>
          <w:rFonts w:ascii="Calibri" w:cs="Calibri" w:eastAsia="Calibri" w:hAnsi="Calibri"/>
          <w:sz w:val="22"/>
          <w:szCs w:val="22"/>
        </w:rPr>
        <w:t xml:space="preserve">Rocket Lab builds launch vehicles and spacecraft under one roof, so engineers see hardware go from design through build and test. My NASA hardware integration and my aerospace minor fit that way of working. At AeroSense PHM I modeled brushless motor faults, and I have completed Fluid Mechanics and Thermodynamics.</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