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Hermeus | Flight Operations &amp; Airworthiness Engineering Intern, Spring/Summer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posting has separate Spring and Summer options, so choose the Spring option (about 16 weeks, January to April)</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Hermeus?</w:t>
      </w:r>
    </w:p>
    <w:p>
      <w:pPr>
        <w:spacing w:after="240"/>
      </w:pPr>
      <w:r>
        <w:rPr>
          <w:rFonts w:ascii="Calibri" w:cs="Calibri" w:eastAsia="Calibri" w:hAnsi="Calibri"/>
          <w:sz w:val="22"/>
          <w:szCs w:val="22"/>
        </w:rPr>
        <w:t xml:space="preserve">Hermeus is building hypersonic aircraft, and I want to work where flight hardware is built and tested quickly. My validation work on flight-critical software at NASA, my drone autonomy projects, and my hardware testing all point toward a team like that. I have not worked on airworthiness before. What I bring is flight software validation experience from the Europa Clipper mission, drone simulation work, and a habit of keeping records traceable.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