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Hermeus | GNC &amp; Flight Software Intern,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The posting has separate Spring and Summer options, so pick the Spring option (about 16 weeks, January to April)</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Hermeus?</w:t>
      </w:r>
    </w:p>
    <w:p>
      <w:pPr>
        <w:spacing w:after="240"/>
      </w:pPr>
      <w:r>
        <w:rPr>
          <w:rFonts w:ascii="Calibri" w:cs="Calibri" w:eastAsia="Calibri" w:hAnsi="Calibri"/>
          <w:sz w:val="22"/>
          <w:szCs w:val="22"/>
        </w:rPr>
        <w:t xml:space="preserve">Hermeus is building hypersonic aircraft, and I want to work where flight hardware is built and tested quickly. My validation work on flight-critical software at NASA, my drone autonomy projects, and my hardware testing all point toward a team like that. My drone landing project and my LiDAR navigation stack are both GNC problems, and on the Europa Clipper mission I supported validation of flight-critical software.</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I am proud of my autonomous precision UAV landing system. I built a vision-guided landing pipeline for GPS-denied quadrotors in PX4 SITL and Gazebo that landed within 10 cm across more than 70 simulation runs. Along the way I reworked obstacle avoidance to increase standoff distance by about 40%, removed trajectory oscillation with setpoint smoothing, and fixed NED and ENU frame errors so the vehicle held a stable 2 m hover in simulated crosswind. The project taught me to debug a system one layer at a time.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