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Varda Space Industries | Guidance, Navigation &amp; Controls (GNC) Internship,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says U.S. work authorization and export control screening apply)</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Varda Space Industries?</w:t>
      </w:r>
    </w:p>
    <w:p>
      <w:pPr>
        <w:spacing w:after="240"/>
      </w:pPr>
      <w:r>
        <w:rPr>
          <w:rFonts w:ascii="Calibri" w:cs="Calibri" w:eastAsia="Calibri" w:hAnsi="Calibri"/>
          <w:sz w:val="22"/>
          <w:szCs w:val="22"/>
        </w:rPr>
        <w:t xml:space="preserve">Varda builds and flies its own spacecraft, so engineers design, build, and test flight hardware close together. That is the kind of work I want, and my NASA testbed work and my drone projects both come from hands-on engineering like that. My drone landing project used vision-guided navigation for GPS-denied quadrotors, and it landed within 10 cm across more than 70 simulation runs.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 of my autonomous precision UAV landing system. I built a vision-guided landing pipeline for GPS-denied quadrotors in PX4 SITL and Gazebo that landed within 10 cm across more than 70 simulation runs. Along the way I reworked obstacle avoidance to increase standoff distance by about 40%, removed trajectory oscillation with setpoint smoothing, and fixed NED and ENU frame errors so the vehicle held a stable 2 m hover in simulated crosswind. The project taught me to debug a system one layer at a time.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