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Berkshire Grey | Spring 2027 Mechatronics Engineering 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Berkshire Grey?</w:t>
      </w:r>
    </w:p>
    <w:p>
      <w:pPr>
        <w:spacing w:after="240"/>
      </w:pPr>
      <w:r>
        <w:rPr>
          <w:rFonts w:ascii="Calibri" w:cs="Calibri" w:eastAsia="Calibri" w:hAnsi="Calibri"/>
          <w:sz w:val="22"/>
          <w:szCs w:val="22"/>
        </w:rPr>
        <w:t xml:space="preserve">Berkshire Grey builds robotic systems that move packages in warehouses, which puts mechanics, sensing, and controls in one product. That mix is what I studied in Robotics Engineering and used at Starship Robotics, and the Bedford site is close to home. I have not programmed PLCs yet, but I have built PID control on an Arduino tracking robot, and I would like to learn PLC development on the job.</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 of my autonomous precision UAV landing system. I built a vision-guided landing pipeline for GPS-denied quadrotors in PX4 SITL and Gazebo that landed within 10 cm across more than 70 simulation runs. Along the way I reworked obstacle avoidance to increase standoff distance by about 40%, removed trajectory oscillation with setpoint smoothing, and fixed NED and ENU frame errors so the vehicle held a stable 2 m hover in simulated crosswind. The project taught me to debug a system one layer at a time.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