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Berkshire Grey | Spring 2027 Robot Learning R&amp;D Co-op</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Berkshire Grey?</w:t>
      </w:r>
    </w:p>
    <w:p>
      <w:pPr>
        <w:spacing w:after="240"/>
      </w:pPr>
      <w:r>
        <w:rPr>
          <w:rFonts w:ascii="Calibri" w:cs="Calibri" w:eastAsia="Calibri" w:hAnsi="Calibri"/>
          <w:sz w:val="22"/>
          <w:szCs w:val="22"/>
        </w:rPr>
        <w:t xml:space="preserve">Berkshire Grey builds robotic systems that move packages in warehouses, which puts mechanics, sensing, and controls in one product. That mix is what I studied in Robotics Engineering and used at Starship Robotics, and the Bedford site is close to home. I have not done manipulation research yet. What I bring is machine learning experience from AeroSense PHM, where I trained Random Forest and Gradient Boosting models on 17 physics-based features.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Starship Robotics I worked on four robotic platforms. I designed and validated sensor-actuator electronics through iterative hardware testing, analyzed operational sensor data to find failure patterns, and wrote reports that guided hardware and software changes. I also developed Python and C++ navigation software with object detection and motion planning.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