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Berkshire Grey | Spring 2027 Hardware Quality Co-op</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Berkshire Grey?</w:t>
      </w:r>
    </w:p>
    <w:p>
      <w:pPr>
        <w:spacing w:after="240"/>
      </w:pPr>
      <w:r>
        <w:rPr>
          <w:rFonts w:ascii="Calibri" w:cs="Calibri" w:eastAsia="Calibri" w:hAnsi="Calibri"/>
          <w:sz w:val="22"/>
          <w:szCs w:val="22"/>
        </w:rPr>
        <w:t xml:space="preserve">Berkshire Grey builds robotic systems that move packages in warehouses, which puts mechanics, sensing, and controls in one product. That mix is what I studied in Robotics Engineering and used at Starship Robotics, and the Bedford site is close to home. At NASA I supported functional verification of a full-scale testbed, and at Starship Robotics I found failure patterns in sensor data and reported them to the team.</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