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Collins Aerospace | Structural Engineering Co-op, Winter/Spring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(RTX postings often require U.S. citizenship, so check this one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Check before applying: </w:t>
      </w:r>
      <w:r>
        <w:rPr>
          <w:rFonts w:ascii="Calibri" w:cs="Calibri" w:eastAsia="Calibri" w:hAnsi="Calibri"/>
          <w:b/>
          <w:bCs/>
          <w:sz w:val="21"/>
          <w:szCs w:val="21"/>
        </w:rPr>
        <w:t xml:space="preserve">The term runs January to July or August 2027, so confirm it works with your August 2027 graduation</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Collins Aerospace?</w:t>
      </w:r>
    </w:p>
    <w:p>
      <w:pPr>
        <w:spacing w:after="240"/>
      </w:pPr>
      <w:r>
        <w:rPr>
          <w:rFonts w:ascii="Calibri" w:cs="Calibri" w:eastAsia="Calibri" w:hAnsi="Calibri"/>
          <w:sz w:val="22"/>
          <w:szCs w:val="22"/>
        </w:rPr>
        <w:t xml:space="preserve">Collins Aerospace supplies systems that fly on commercial, business, and military aircraft, so the work ends up on real hardware in the field. I want to join a team where engineers follow a design from drawings through testing, and I would like to learn how Collins does that. I have completed Mechanics of Materials and Dynamics, and my Mars rover concept work included material trades under a strict mass limit.</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I built and integrated hardware across more than six subsystems and managed procurement, revision cycles, and assembly. I kept configuration records traceable so the team always knew what was installed and which drawing revision it matched. That taught me that a clean record of what is actually built matters as much as the build itself.</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