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5" w:name="nodala_12"/>
      <w:r>
        <w:t xml:space="preserve">12. Atbalsts</w:t>
      </w:r>
      <w:bookmarkEnd w:id="65"/>
    </w:p>
    <w:p>
      <w:pPr>
        <w:pStyle w:val="Heading2"/>
      </w:pPr>
      <w:bookmarkStart w:id="68" w:name="sadala_12_3"/>
      <w:r>
        <w:t xml:space="preserve">12.3. Dokumentācija</w:t>
      </w:r>
      <w:bookmarkEnd w:id="68"/>
    </w:p>
    <w:p>
      <w:r>
        <w:t xml:space="preserve">Šī palīdzības sadaļa ir galvenais dokumentācijas avots par DARi lietošanu. Tā aptver visu darba plūsmu — no projekta izveides līdz OPEX pakotnes ģenerēšanai.</w:t>
      </w:r>
    </w:p>
    <w:p>
      <w:r>
        <w:t xml:space="preserve">Noderīgākās sadaļas:</w:t>
      </w:r>
    </w:p>
    <w:p>
      <w:pPr>
        <w:pStyle w:val="ListParagraph"/>
        <w:numPr>
          <w:ilvl w:val="0"/>
          <w:numId w:val="1"/>
        </w:numPr>
      </w:pPr>
      <w:r>
        <w:t xml:space="preserve">Darba Sākšana — ievads un pirmie soļi</w:t>
      </w:r>
    </w:p>
    <w:p>
      <w:pPr>
        <w:pStyle w:val="ListParagraph"/>
        <w:numPr>
          <w:ilvl w:val="0"/>
          <w:numId w:val="1"/>
        </w:numPr>
      </w:pPr>
      <w:r>
        <w:t xml:space="preserve">Aprakstīšanas Process — pilna darba plūsma un labākā prakse</w:t>
      </w:r>
    </w:p>
    <w:p>
      <w:pPr>
        <w:pStyle w:val="ListParagraph"/>
        <w:numPr>
          <w:ilvl w:val="0"/>
          <w:numId w:val="1"/>
        </w:numPr>
      </w:pPr>
      <w:r>
        <w:t xml:space="preserve">Terminoloģija — biežāk lietoto terminu skaidrojums</w:t>
      </w:r>
    </w:p>
    <w:p>
      <w:pPr>
        <w:pStyle w:val="ListParagraph"/>
        <w:numPr>
          <w:ilvl w:val="0"/>
          <w:numId w:val="1"/>
        </w:numPr>
      </w:pPr>
      <w:r>
        <w:t xml:space="preserve">Tastatūras Saīsnes — ātrākai darbībai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