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EC60F17" w14:textId="77777777">
      <w:pPr>
        <w:pStyle w:val="Heading1"/>
      </w:pPr>
      <w:bookmarkStart w:name="nodala_12" w:id="65"/>
      <w:r>
        <w:t xml:space="preserve">12. Atbalsts</w:t>
      </w:r>
      <w:bookmarkEnd w:id="65"/>
    </w:p>
    <w:p xmlns:wp14="http://schemas.microsoft.com/office/word/2010/wordml" w14:paraId="6D95E3C2" wp14:textId="77777777">
      <w:pPr>
        <w:pStyle w:val="Heading2"/>
      </w:pPr>
      <w:bookmarkStart w:name="sadala_12_1" w:id="66"/>
      <w:r>
        <w:t xml:space="preserve">12.1. Tehniskā Atbalsta</w:t>
      </w:r>
      <w:bookmarkEnd w:id="66"/>
    </w:p>
    <w:p xmlns:wp14="http://schemas.microsoft.com/office/word/2010/wordml" w14:paraId="63C0EFB1" wp14:textId="77777777">
      <w:r>
        <w:t xml:space="preserve">Ja jums ir jautājumi par OPEX rīka izmantošanu, vispirms pārlūkojiet šo palīdzības sadaļu — meklēšana (Ctrl+K) ļauj ātri atrast vajadzīgo tematu.</w:t>
      </w:r>
    </w:p>
    <w:p xmlns:wp14="http://schemas.microsoft.com/office/word/2010/wordml" w14:paraId="50F69C00" wp14:textId="77777777">
      <w:r>
        <w:t xml:space="preserve">Ja atbilde nav atrodama, sazinieties ar savas iestādes arhīva atbildīgo personu vai IT atbalstu, kas uztur šo rīku.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0EFCFED" wp14:textId="77777777">
        <w:tc>
          <w:tcPr>
            <w:tcW w:w="9354" w:type="dxa"/>
            <w:shd w:val="clear" w:color="auto" w:fill="FFFFFF"/>
            <w:vAlign w:val="top"/>
          </w:tcPr>
          <w:p w14:paraId="55B852E9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4C496594" wp14:textId="77777777">
            <w:r>
              <w:t xml:space="preserve">OPEX rīks darbojas lokāli jūsu datorā. Visi projekta dati un faili tiek glabāti jūsu norādītajā projekta direktorijā.</w:t>
            </w:r>
          </w:p>
        </w:tc>
      </w:tr>
    </w:tbl>
    <w:p xmlns:wp14="http://schemas.microsoft.com/office/word/2010/wordml" w14:paraId="77A52294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