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5" w:name="nodala_12"/>
      <w:r>
        <w:t xml:space="preserve">12. Atbalsts</w:t>
      </w:r>
      <w:bookmarkEnd w:id="65"/>
    </w:p>
    <w:p>
      <w:pPr>
        <w:pStyle w:val="Heading2"/>
      </w:pPr>
      <w:bookmarkStart w:id="66" w:name="sadala_12_1"/>
      <w:r>
        <w:t xml:space="preserve">12.1. Tehniskā Atbalsta</w:t>
      </w:r>
      <w:bookmarkEnd w:id="66"/>
    </w:p>
    <w:p>
      <w:r>
        <w:t xml:space="preserve">Ja jums ir jautājumi par DARi lietošanu, vispirms pārlūkojiet šo palīdzības sadaļu — meklēšana (Ctrl+K) ļauj ātri atrast vajadzīgo tematu.</w:t>
      </w:r>
    </w:p>
    <w:p>
      <w:r>
        <w:t xml:space="preserve">Ja atbilde nav atrodama, sazinieties ar savas iestādes arhīva atbildīgo personu vai IT atbalstu, kas uztur DARi.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DARi darbojas lokāli jūsu datorā. Visi projekta dati un datnes tiek glabāti jūsu norādītajā projekta direktorijā.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"un faili tiek"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4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