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E7BE0D7" w14:textId="77777777">
      <w:pPr>
        <w:pStyle w:val="Heading1"/>
      </w:pPr>
      <w:bookmarkStart w:name="nodala_1" w:id="1"/>
      <w:r>
        <w:t xml:space="preserve">1. Darba Sākšana</w:t>
      </w:r>
      <w:bookmarkEnd w:id="1"/>
    </w:p>
    <w:p xmlns:wp14="http://schemas.microsoft.com/office/word/2010/wordml" w14:paraId="6E1E4357" wp14:textId="77777777">
      <w:pPr>
        <w:pStyle w:val="Heading2"/>
      </w:pPr>
      <w:bookmarkStart w:name="sadala_1_3" w:id="4"/>
      <w:r>
        <w:t xml:space="preserve">1.3. Palīdzības Poga</w:t>
      </w:r>
      <w:bookmarkEnd w:id="4"/>
    </w:p>
    <w:p xmlns:wp14="http://schemas.microsoft.com/office/word/2010/wordml" w14:paraId="4FFBB007" wp14:textId="77777777">
      <w:r>
        <w:t xml:space="preserve">Labajā augšējā stūrī atrodas "Palīdzības Poga", kas norādīta ar (?) simbolu.</w:t>
      </w:r>
    </w:p>
    <w:p xmlns:wp14="http://schemas.microsoft.com/office/word/2010/wordml" w14:paraId="774ECA2A" wp14:textId="77777777">
      <w:r>
        <w:t xml:space="preserve">Lietotājam nospiežot šo pogu, atveras jaunā logā pilna palīdzības dokumentācija ar visām sadaļām un instrukcijām.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2922967" wp14:textId="77777777">
        <w:tc>
          <w:tcPr>
            <w:tcW w:w="9354" w:type="dxa"/>
            <w:shd w:val="clear" w:color="auto" w:fill="FFFFFF"/>
            <w:vAlign w:val="top"/>
          </w:tcPr>
          <w:p w14:paraId="6D24824F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9DE5648" wp14:textId="77777777">
            <w:r>
              <w:t xml:space="preserve">Palīdzības poga ir pieejama vienmēr, neatkarīgi no tā, kur lietotājs atrodas programmā. Jūs varat atvērt palīdzību jebkurā brīdī.</w:t>
            </w:r>
          </w:p>
        </w:tc>
      </w:tr>
    </w:tbl>
    <w:p xmlns:wp14="http://schemas.microsoft.com/office/word/2010/wordml" w14:paraId="60061E4C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