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0672EE6F" w14:textId="77777777">
      <w:pPr>
        <w:pStyle w:val="Heading1"/>
      </w:pPr>
      <w:bookmarkStart w:name="nodala_9" w:id="53"/>
      <w:r>
        <w:t xml:space="preserve">9. Navigācija</w:t>
      </w:r>
      <w:bookmarkEnd w:id="53"/>
    </w:p>
    <w:p xmlns:wp14="http://schemas.microsoft.com/office/word/2010/wordml" w14:paraId="4065AFC9" wp14:textId="77777777">
      <w:pPr>
        <w:pStyle w:val="Heading2"/>
      </w:pPr>
      <w:bookmarkStart w:name="sadala_9_2" w:id="55"/>
      <w:r>
        <w:t xml:space="preserve">9.2. Ātrās Darbības</w:t>
      </w:r>
      <w:bookmarkEnd w:id="55"/>
    </w:p>
    <w:p xmlns:wp14="http://schemas.microsoft.com/office/word/2010/wordml" w14:paraId="496DC107" wp14:textId="77777777">
      <w:r>
        <w:t xml:space="preserve">Katrā līmenī ir pieejamas ātrās darbības pogas, kas ļauj ātri izveidot, labot vai dzēst elementus.</w:t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