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387B963B" wp14:textId="77777777">
      <w:pPr>
        <w:pStyle w:val="Heading2"/>
      </w:pPr>
      <w:bookmarkStart w:name="sadala_7_5" w:id="48"/>
      <w:r>
        <w:t xml:space="preserve">7.5. Brīdinājumu Ignorēšana</w:t>
      </w:r>
      <w:bookmarkEnd w:id="48"/>
    </w:p>
    <w:p xmlns:wp14="http://schemas.microsoft.com/office/word/2010/wordml" w14:paraId="32097C87" wp14:textId="77777777">
      <w:r>
        <w:t xml:space="preserve">Brīdinājumus (dzeltenos) var ignorēt, ja tie ir apzināti un nav jālabo — piemēram, dokuments bez faila, jo fiziskais oriģināls nav digitalizēts.</w:t>
      </w:r>
    </w:p>
    <w:p xmlns:wp14="http://schemas.microsoft.com/office/word/2010/wordml" w14:paraId="1BCA80BC" wp14:textId="77777777">
      <w:pPr>
        <w:pStyle w:val="ListParagraph"/>
        <w:numPr>
          <w:ilvl w:val="0"/>
          <w:numId w:val="1"/>
        </w:numPr>
      </w:pPr>
      <w:r>
        <w:t xml:space="preserve">Atveriet kļūdu paneli elementam ar brīdinājumiem</w:t>
      </w:r>
    </w:p>
    <w:p xmlns:wp14="http://schemas.microsoft.com/office/word/2010/wordml" w14:paraId="22D01471" wp14:textId="77777777">
      <w:pPr>
        <w:pStyle w:val="ListParagraph"/>
        <w:numPr>
          <w:ilvl w:val="0"/>
          <w:numId w:val="1"/>
        </w:numPr>
      </w:pPr>
      <w:r>
        <w:t xml:space="preserve">Noklikšķiniet uz ignorēšanas pogas pie atsevišķa brīdinājuma, lai to ignorētu</w:t>
      </w:r>
    </w:p>
    <w:p xmlns:wp14="http://schemas.microsoft.com/office/word/2010/wordml" w14:paraId="6C56948D" wp14:textId="77777777">
      <w:pPr>
        <w:pStyle w:val="ListParagraph"/>
        <w:numPr>
          <w:ilvl w:val="0"/>
          <w:numId w:val="1"/>
        </w:numPr>
      </w:pPr>
      <w:r>
        <w:t xml:space="preserve">Vai izmantojiet "ignorēt visus", lai ignorētu visus elementa brīdinājumus</w:t>
      </w:r>
    </w:p>
    <w:p xmlns:wp14="http://schemas.microsoft.com/office/word/2010/wordml" w14:paraId="6BEDEBC7" wp14:textId="77777777">
      <w:pPr>
        <w:pStyle w:val="ListParagraph"/>
        <w:numPr>
          <w:ilvl w:val="0"/>
          <w:numId w:val="1"/>
        </w:numPr>
      </w:pPr>
      <w:r>
        <w:t xml:space="preserve">Ignorētie brīdinājumi tiek paslēpti, un to skaits parādās kā "N ignorēti"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447FA0D" wp14:textId="77777777">
        <w:tc>
          <w:tcPr>
            <w:tcW w:w="9354" w:type="dxa"/>
            <w:shd w:val="clear" w:color="auto" w:fill="FFFFFF"/>
            <w:vAlign w:val="top"/>
          </w:tcPr>
          <w:p w14:paraId="00918E95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F854C07" wp14:textId="77777777">
            <w:r>
              <w:t xml:space="preserve">Ignorētie brīdinājumi tiek saglabāti lokāli un saglabājas starp sesijām. Lai tos atjaunotu, noklikšķiniet uz "Atjaunot ignorētos brīdinājumus" kļūdu panelī.</w:t>
            </w:r>
          </w:p>
        </w:tc>
      </w:tr>
    </w:tbl>
    <w:p xmlns:wp14="http://schemas.microsoft.com/office/word/2010/wordml" w14:paraId="5BE93A62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EF89742" wp14:textId="77777777">
        <w:tc>
          <w:tcPr>
            <w:tcW w:w="9354" w:type="dxa"/>
            <w:shd w:val="clear" w:color="auto" w:fill="FFFFFF"/>
            <w:vAlign w:val="top"/>
          </w:tcPr>
          <w:p w14:paraId="703B7F99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12D0593F" wp14:textId="77777777">
            <w:r>
              <w:t xml:space="preserve">Kļūdas (sarkanās) NEVAR ignorēt — tās obligāti jāizlabo pirms OPEX eksportēšanas.</w:t>
            </w:r>
          </w:p>
        </w:tc>
      </w:tr>
    </w:tbl>
    <w:p xmlns:wp14="http://schemas.microsoft.com/office/word/2010/wordml" w14:paraId="384BA73E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