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Исследование биоэквивалентности препаратов Ibuprofen</w:t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>
              <w:t>BE-IBU-202602</w:t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ООО "ФармаКом"</w:t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ООО "Центр клинических исследований"</w:t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ООО "Аналитика"</w:t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Тест Ibuprofen таблетки 200 мг</w:t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>
              <w:t>Ibuprofen</w:t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>
              <w:t>Оценка сравнительной фармакокинетики и биоэквивалентности препаратов Оценка биоэквивалентности препаратов Ibuprofen натощак и 2x2 crossover натощак/после приема высококалорийной пищи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Сравнительная оценка безопасности однократного приема препаратов Открытое рандомизированное двухпериодное перекрестное исследование с отмывочным периодом 1 дней у здоровых добровольцев.</w:t>
            </w:r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Определить концентрацию Включено 25 добровольцев (с учётом 20% выбывших) в плазме крови добровольцев после однократного применения сравниваемых препаратов Ibuprofen 200 мг.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Оценить профиль безопасности сравниваемых препаратов при однократном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Ibuprofen оригинальный).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до 16 дней и препарата Cmax, AUC0-t, Tmax, T½ стандартным дизайном исследования биоэквивалентности является проведение открытого рандомизированного двухпериодного перекрестного исследования в двух группах с приемом однократной дозы. При этом периоды приема препаратов исследования разделяются отмывочным периодом продолжительностью не менее пяти периодов полувыведения (Т1/2) действующего вещества.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>
              <w:t>Длительность периода скрининга составит не более 90% ДИ для отношения геометрических средних Cmax и AUC0-t в пределах 80.00–125.00% дней, длительность каждого периода ФК исследования составит На основе CVintra = 0.25 получено N=20, с учётом выбывания 20% итого 25. дней, длительность отмывочного периода – Дизайн выбран в соответствии с Решением №85. дней от приема препарата в Периоде 1 ФК исследования, периода последующего наблюдения – Версия 1.0 от 20.02.2026 дней от приема препарата в Периоде 2 ФК исследования.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