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Month:</w:t>
        <w:tab/>
        <w:t xml:space="preserve">Год и месяц продажи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Town:</w:t>
        <w:tab/>
        <w:t xml:space="preserve"> </w:t>
        <w:tab/>
        <w:t xml:space="preserve">Район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Flat_type:</w:t>
        <w:tab/>
        <w:tab/>
        <w:t xml:space="preserve">Количество комнат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Block:</w:t>
        <w:tab/>
        <w:tab/>
        <w:t xml:space="preserve">Номер блока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Street_name:</w:t>
        <w:tab/>
        <w:t xml:space="preserve">Название улицы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Storey_range:</w:t>
        <w:tab/>
        <w:t xml:space="preserve">Этаж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Floor_area_sqm:</w:t>
        <w:tab/>
        <w:t xml:space="preserve">Площадь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Flat_model:</w:t>
        <w:tab/>
        <w:tab/>
        <w:tab/>
        <w:t xml:space="preserve">Ремонт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Lease_commence_date:</w:t>
        <w:tab/>
        <w:t xml:space="preserve">Год постройки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Remaining_lease:</w:t>
        <w:tab/>
        <w:tab/>
        <w:t xml:space="preserve">Срок эксплуатации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Sale_price:</w:t>
        <w:tab/>
        <w:tab/>
        <w:tab/>
        <w:t xml:space="preserve">Цена продажи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