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376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rPr>
          <w:rFonts w:ascii="DejaVu Serif" w:hAnsi="DejaVu Serif" w:eastAsia="DejaVu Serif"/>
          <w:b/>
          <w:i w:val="0"/>
          <w:color w:val="282D35"/>
          <w:sz w:val="24"/>
          <w:u w:val="single"/>
        </w:rPr>
        <w:t>Learning Module 1: Rate and Return</w:t>
      </w:r>
    </w:p>
    <w:p>
      <w:pPr>
        <w:autoSpaceDN w:val="0"/>
        <w:autoSpaceDE w:val="0"/>
        <w:widowControl/>
        <w:spacing w:line="314" w:lineRule="auto" w:before="478" w:after="0"/>
        <w:ind w:left="0" w:right="22" w:firstLine="0"/>
        <w:jc w:val="both"/>
      </w:pPr>
      <w:r>
        <w:rPr>
          <w:rFonts w:ascii="DejaVu Serif" w:hAnsi="DejaVu Serif" w:eastAsia="DejaVu Serif"/>
          <w:b/>
          <w:i w:val="0"/>
          <w:color w:val="282D35"/>
          <w:sz w:val="24"/>
        </w:rPr>
        <w:t xml:space="preserve">LOS 1a: interpret interest rates as required rates of return, discount </w:t>
      </w:r>
      <w:r>
        <w:rPr>
          <w:rFonts w:ascii="DejaVu Serif" w:hAnsi="DejaVu Serif" w:eastAsia="DejaVu Serif"/>
          <w:b/>
          <w:i w:val="0"/>
          <w:color w:val="282D35"/>
          <w:sz w:val="24"/>
        </w:rPr>
        <w:t xml:space="preserve">rates, or opportunity costs and explain an interest rate as the sum of a </w:t>
      </w:r>
      <w:r>
        <w:rPr>
          <w:rFonts w:ascii="DejaVu Serif" w:hAnsi="DejaVu Serif" w:eastAsia="DejaVu Serif"/>
          <w:b/>
          <w:i w:val="0"/>
          <w:color w:val="282D35"/>
          <w:sz w:val="24"/>
        </w:rPr>
        <w:t xml:space="preserve">real risk-free rate and premiums that compensate investors for bearing </w:t>
      </w:r>
      <w:r>
        <w:rPr>
          <w:rFonts w:ascii="DejaVu Serif" w:hAnsi="DejaVu Serif" w:eastAsia="DejaVu Serif"/>
          <w:b/>
          <w:i w:val="0"/>
          <w:color w:val="282D35"/>
          <w:sz w:val="24"/>
        </w:rPr>
        <w:t>distinct types of risk</w:t>
      </w:r>
    </w:p>
    <w:p>
      <w:pPr>
        <w:autoSpaceDN w:val="0"/>
        <w:autoSpaceDE w:val="0"/>
        <w:widowControl/>
        <w:spacing w:line="365" w:lineRule="auto" w:before="538" w:after="0"/>
        <w:ind w:left="0" w:right="28" w:firstLine="0"/>
        <w:jc w:val="both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The time value of money is a concept that states that cash received today is more valuable than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cash received in the future. If a person agrees to receive payment in the future, he foregoes the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option of earning interest if he invests that amount of money today.</w:t>
      </w:r>
    </w:p>
    <w:p>
      <w:pPr>
        <w:autoSpaceDN w:val="0"/>
        <w:autoSpaceDE w:val="0"/>
        <w:widowControl/>
        <w:spacing w:line="334" w:lineRule="auto" w:before="38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An interest rate or yield, usually denoted by r, is a rate of return that reflects the connection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between cash flows dated at different times.</w:t>
      </w:r>
    </w:p>
    <w:p>
      <w:pPr>
        <w:autoSpaceDN w:val="0"/>
        <w:autoSpaceDE w:val="0"/>
        <w:widowControl/>
        <w:spacing w:line="382" w:lineRule="auto" w:before="386" w:after="0"/>
        <w:ind w:left="0" w:right="26" w:firstLine="0"/>
        <w:jc w:val="both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Assume you currently possess $100. Next, consider depositing this money into a savings account,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expecting it to grow to $110 after one year. Intuitively, the compensation required for deferring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the consumption of $100 now in favor of receiving $110 in one year is $10 (equal to 110 minus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100). This compensation is equivalent to a 10% rate of return (calculated as 10 divided by 100).</w:t>
      </w:r>
    </w:p>
    <w:p>
      <w:pPr>
        <w:autoSpaceDN w:val="0"/>
        <w:autoSpaceDE w:val="0"/>
        <w:widowControl/>
        <w:spacing w:line="240" w:lineRule="auto" w:before="38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There are three ways to interpret interest rates:</w:t>
      </w:r>
    </w:p>
    <w:p>
      <w:pPr>
        <w:autoSpaceDN w:val="0"/>
        <w:tabs>
          <w:tab w:pos="800" w:val="left"/>
        </w:tabs>
        <w:autoSpaceDE w:val="0"/>
        <w:widowControl/>
        <w:spacing w:line="336" w:lineRule="auto" w:before="424" w:after="0"/>
        <w:ind w:left="48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1. </w:t>
      </w:r>
      <w:r>
        <w:rPr>
          <w:rFonts w:ascii="DejaVu Serif" w:hAnsi="DejaVu Serif" w:eastAsia="DejaVu Serif"/>
          <w:b/>
          <w:i w:val="0"/>
          <w:color w:val="282D35"/>
          <w:sz w:val="20"/>
        </w:rPr>
        <w:t>Required rate of return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: The minimum return an investor expects to earn to accept an </w:t>
      </w:r>
      <w:r>
        <w:tab/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investment.</w:t>
      </w:r>
    </w:p>
    <w:p>
      <w:pPr>
        <w:autoSpaceDN w:val="0"/>
        <w:autoSpaceDE w:val="0"/>
        <w:widowControl/>
        <w:spacing w:line="382" w:lineRule="auto" w:before="184" w:after="0"/>
        <w:ind w:left="800" w:right="22" w:hanging="320"/>
        <w:jc w:val="both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2. </w:t>
      </w:r>
      <w:r>
        <w:rPr>
          <w:rFonts w:ascii="DejaVu Serif" w:hAnsi="DejaVu Serif" w:eastAsia="DejaVu Serif"/>
          <w:b/>
          <w:i w:val="0"/>
          <w:color w:val="282D35"/>
          <w:sz w:val="20"/>
        </w:rPr>
        <w:t>Discount rate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: The rate used to discount future cash flows to allow for the time value of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money (to determine the present value </w:t>
      </w:r>
      <w:r>
        <w:rPr>
          <w:rFonts w:ascii="DejaVu Serif" w:hAnsi="DejaVu Serif" w:eastAsia="DejaVu Serif"/>
          <w:b/>
          <w:i w:val="0"/>
          <w:color w:val="282D35"/>
          <w:sz w:val="20"/>
        </w:rPr>
        <w:t>equivalent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 of some money to be received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sometime in the future). Discount rates and interest rates are used almost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interchangeably.</w:t>
      </w:r>
    </w:p>
    <w:p>
      <w:pPr>
        <w:autoSpaceDN w:val="0"/>
        <w:tabs>
          <w:tab w:pos="800" w:val="left"/>
        </w:tabs>
        <w:autoSpaceDE w:val="0"/>
        <w:widowControl/>
        <w:spacing w:line="336" w:lineRule="auto" w:before="184" w:after="0"/>
        <w:ind w:left="48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3. </w:t>
      </w:r>
      <w:r>
        <w:rPr>
          <w:rFonts w:ascii="DejaVu Serif" w:hAnsi="DejaVu Serif" w:eastAsia="DejaVu Serif"/>
          <w:b/>
          <w:i w:val="0"/>
          <w:color w:val="282D35"/>
          <w:sz w:val="20"/>
        </w:rPr>
        <w:t>Opportunity cost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: The value of the </w:t>
      </w:r>
      <w:r>
        <w:rPr>
          <w:rFonts w:ascii="DejaVu Serif" w:hAnsi="DejaVu Serif" w:eastAsia="DejaVu Serif"/>
          <w:b/>
          <w:i w:val="0"/>
          <w:color w:val="282D35"/>
          <w:sz w:val="20"/>
        </w:rPr>
        <w:t>best-forgone alternative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; the most valuable </w:t>
      </w:r>
      <w:r>
        <w:tab/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alternative investors give up when they choose what to do with money.</w:t>
      </w:r>
    </w:p>
    <w:p>
      <w:pPr>
        <w:autoSpaceDN w:val="0"/>
        <w:autoSpaceDE w:val="0"/>
        <w:widowControl/>
        <w:spacing w:line="240" w:lineRule="auto" w:before="486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282D35"/>
          <w:sz w:val="24"/>
        </w:rPr>
        <w:t>Determinants of Interest Rates</w:t>
      </w:r>
    </w:p>
    <w:p>
      <w:pPr>
        <w:autoSpaceDN w:val="0"/>
        <w:autoSpaceDE w:val="0"/>
        <w:widowControl/>
        <w:spacing w:line="334" w:lineRule="auto" w:before="478" w:after="0"/>
        <w:ind w:left="0" w:right="0" w:firstLine="0"/>
        <w:jc w:val="center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Economics postulates that the forces of supply and demand determine interest rates. In this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case, the investors (lenders) supply the money, and the borrowers demand money for their</w:t>
      </w:r>
    </w:p>
    <w:p>
      <w:pPr>
        <w:autoSpaceDN w:val="0"/>
        <w:tabs>
          <w:tab w:pos="8020" w:val="left"/>
        </w:tabs>
        <w:autoSpaceDE w:val="0"/>
        <w:widowControl/>
        <w:spacing w:line="295" w:lineRule="auto" w:before="604" w:after="0"/>
        <w:ind w:left="4902" w:right="0" w:firstLine="0"/>
        <w:jc w:val="left"/>
      </w:pPr>
      <w:r>
        <w:rPr>
          <w:rFonts w:ascii="DejaVu Serif" w:hAnsi="DejaVu Serif" w:eastAsia="DejaVu Serif"/>
          <w:b w:val="0"/>
          <w:i w:val="0"/>
          <w:color w:val="000000"/>
          <w:sz w:val="18"/>
        </w:rPr>
        <w:t>3</w:t>
      </w:r>
      <w:r>
        <w:br/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© 2014-2024 AnalystPrep.</w:t>
      </w:r>
    </w:p>
    <w:p>
      <w:pPr>
        <w:sectPr>
          <w:pgSz w:w="12240" w:h="15840"/>
          <w:pgMar w:top="598" w:right="1140" w:bottom="320" w:left="11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04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consumption.</w:t>
      </w:r>
    </w:p>
    <w:p>
      <w:pPr>
        <w:autoSpaceDN w:val="0"/>
        <w:autoSpaceDE w:val="0"/>
        <w:widowControl/>
        <w:spacing w:line="334" w:lineRule="auto" w:before="394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As such, interest is a reward a borrower pays for using an asset, usually capital, belonging to a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lender. It is compensation for the loss or value depreciation occasioned by the use of the asset.</w:t>
      </w:r>
    </w:p>
    <w:p>
      <w:pPr>
        <w:autoSpaceDN w:val="0"/>
        <w:autoSpaceDE w:val="0"/>
        <w:widowControl/>
        <w:spacing w:line="334" w:lineRule="auto" w:before="38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Therefore, an interest rate is composed of a real risk-free interest rate plus a set of four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premiums that represent compensation for bearing distinct types of risk:</w:t>
      </w:r>
    </w:p>
    <w:p>
      <w:pPr>
        <w:autoSpaceDN w:val="0"/>
        <w:tabs>
          <w:tab w:pos="4320" w:val="left"/>
          <w:tab w:pos="4360" w:val="left"/>
        </w:tabs>
        <w:autoSpaceDE w:val="0"/>
        <w:widowControl/>
        <w:spacing w:line="259" w:lineRule="auto" w:before="466" w:after="0"/>
        <w:ind w:left="2860" w:right="2880" w:firstLine="0"/>
        <w:jc w:val="left"/>
      </w:pPr>
      <w:r>
        <w:tab/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Real risk-free interest rate </w:t>
      </w:r>
      <w:r>
        <w:br/>
      </w:r>
      <w:r>
        <w:tab/>
      </w:r>
      <w:r>
        <w:tab/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+ Inflation Premium </w:t>
      </w:r>
      <w:r>
        <w:br/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Interest (r) = </w:t>
      </w:r>
      <w:r>
        <w:tab/>
      </w:r>
      <w:r>
        <w:tab/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+ Default risk premium </w:t>
      </w:r>
      <w:r>
        <w:br/>
      </w:r>
      <w:r>
        <w:tab/>
      </w:r>
      <w:r>
        <w:tab/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+ Liquidity premium </w:t>
      </w:r>
      <w:r>
        <w:br/>
      </w:r>
      <w:r>
        <w:tab/>
      </w:r>
      <w:r>
        <w:tab/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+ Maturity premium</w:t>
      </w:r>
    </w:p>
    <w:p>
      <w:pPr>
        <w:autoSpaceDN w:val="0"/>
        <w:autoSpaceDE w:val="0"/>
        <w:widowControl/>
        <w:spacing w:line="240" w:lineRule="auto" w:before="590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282D35"/>
          <w:sz w:val="28"/>
        </w:rPr>
        <w:t>The Real Risk-free Interest Rate</w:t>
      </w:r>
    </w:p>
    <w:p>
      <w:pPr>
        <w:autoSpaceDN w:val="0"/>
        <w:autoSpaceDE w:val="0"/>
        <w:widowControl/>
        <w:spacing w:line="365" w:lineRule="auto" w:before="628" w:after="0"/>
        <w:ind w:left="0" w:right="26" w:firstLine="0"/>
        <w:jc w:val="both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The real risk-free interest rate is the single-period interest rate for a completely risk-free security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if no inflation is expected. According to economic theory, the real risk-free rate reflects people’s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preferences for current compared to real future consumption.</w:t>
      </w:r>
    </w:p>
    <w:p>
      <w:pPr>
        <w:autoSpaceDN w:val="0"/>
        <w:autoSpaceDE w:val="0"/>
        <w:widowControl/>
        <w:spacing w:line="240" w:lineRule="auto" w:before="486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282D35"/>
          <w:sz w:val="24"/>
        </w:rPr>
        <w:t>Types of Risk Premiums</w:t>
      </w:r>
    </w:p>
    <w:p>
      <w:pPr>
        <w:autoSpaceDN w:val="0"/>
        <w:autoSpaceDE w:val="0"/>
        <w:widowControl/>
        <w:spacing w:line="240" w:lineRule="auto" w:before="438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282D35"/>
          <w:sz w:val="24"/>
        </w:rPr>
        <w:t>Inflation Risk Premium</w:t>
      </w:r>
    </w:p>
    <w:p>
      <w:pPr>
        <w:autoSpaceDN w:val="0"/>
        <w:autoSpaceDE w:val="0"/>
        <w:widowControl/>
        <w:spacing w:line="334" w:lineRule="auto" w:before="498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Inflation risk is the loss of purchasing power of money as a result of the increase in prices of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consumer goods.</w:t>
      </w:r>
    </w:p>
    <w:p>
      <w:pPr>
        <w:autoSpaceDN w:val="0"/>
        <w:autoSpaceDE w:val="0"/>
        <w:widowControl/>
        <w:spacing w:line="365" w:lineRule="auto" w:before="386" w:after="0"/>
        <w:ind w:left="0" w:right="28" w:firstLine="0"/>
        <w:jc w:val="both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The inflation premium compensates investors for expected inflation. It represents the average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inflation rate expected over the maturity of the debt. The risk of a decrease in purchasing power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validates the inflation risk premium.</w:t>
      </w:r>
    </w:p>
    <w:p>
      <w:pPr>
        <w:autoSpaceDN w:val="0"/>
        <w:autoSpaceDE w:val="0"/>
        <w:widowControl/>
        <w:spacing w:line="240" w:lineRule="auto" w:before="526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282D35"/>
          <w:sz w:val="24"/>
        </w:rPr>
        <w:t>Liquidity Risk Premium</w:t>
      </w:r>
    </w:p>
    <w:p>
      <w:pPr>
        <w:autoSpaceDN w:val="0"/>
        <w:autoSpaceDE w:val="0"/>
        <w:widowControl/>
        <w:spacing w:line="334" w:lineRule="auto" w:before="498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Liquidity refers to the ease with which an investment can be converted into cash without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significantly sacrificing market value.</w:t>
      </w:r>
    </w:p>
    <w:p>
      <w:pPr>
        <w:autoSpaceDN w:val="0"/>
        <w:tabs>
          <w:tab w:pos="8020" w:val="left"/>
        </w:tabs>
        <w:autoSpaceDE w:val="0"/>
        <w:widowControl/>
        <w:spacing w:line="295" w:lineRule="auto" w:before="704" w:after="0"/>
        <w:ind w:left="4902" w:right="0" w:firstLine="0"/>
        <w:jc w:val="left"/>
      </w:pPr>
      <w:r>
        <w:rPr>
          <w:rFonts w:ascii="DejaVu Serif" w:hAnsi="DejaVu Serif" w:eastAsia="DejaVu Serif"/>
          <w:b w:val="0"/>
          <w:i w:val="0"/>
          <w:color w:val="000000"/>
          <w:sz w:val="18"/>
        </w:rPr>
        <w:t>4</w:t>
      </w:r>
      <w:r>
        <w:br/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© 2014-2024 AnalystPrep.</w:t>
      </w:r>
    </w:p>
    <w:p>
      <w:pPr>
        <w:sectPr>
          <w:pgSz w:w="12240" w:h="15840"/>
          <w:pgMar w:top="622" w:right="1140" w:bottom="320" w:left="11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06"/>
        <w:ind w:left="0" w:right="0"/>
      </w:pPr>
    </w:p>
    <w:p>
      <w:pPr>
        <w:autoSpaceDN w:val="0"/>
        <w:autoSpaceDE w:val="0"/>
        <w:widowControl/>
        <w:spacing w:line="334" w:lineRule="auto" w:before="0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The liquidity premium compensates investors for the risk of loss relative to an investment’s fair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value if the investment needs to be converted to cash quickly.</w:t>
      </w:r>
    </w:p>
    <w:p>
      <w:pPr>
        <w:autoSpaceDN w:val="0"/>
        <w:autoSpaceDE w:val="0"/>
        <w:widowControl/>
        <w:spacing w:line="240" w:lineRule="auto" w:before="526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282D35"/>
          <w:sz w:val="24"/>
        </w:rPr>
        <w:t>Default Risk Premium</w:t>
      </w:r>
    </w:p>
    <w:p>
      <w:pPr>
        <w:autoSpaceDN w:val="0"/>
        <w:autoSpaceDE w:val="0"/>
        <w:widowControl/>
        <w:spacing w:line="334" w:lineRule="auto" w:before="498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Default risk describes a situation where a borrower may fail to repay borrowed funds as a result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of bankruptcy. This might result in significant losses on the side of the lender.</w:t>
      </w:r>
    </w:p>
    <w:p>
      <w:pPr>
        <w:autoSpaceDN w:val="0"/>
        <w:autoSpaceDE w:val="0"/>
        <w:widowControl/>
        <w:spacing w:line="336" w:lineRule="auto" w:before="384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The </w:t>
      </w:r>
      <w:r>
        <w:rPr>
          <w:rFonts w:ascii="DejaVu Serif" w:hAnsi="DejaVu Serif" w:eastAsia="DejaVu Serif"/>
          <w:b/>
          <w:i w:val="0"/>
          <w:color w:val="444444"/>
          <w:sz w:val="20"/>
        </w:rPr>
        <w:t xml:space="preserve">default risk premium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compensates investors for the possibility that the borrower </w:t>
      </w:r>
      <w:r>
        <w:rPr>
          <w:rFonts w:ascii="DejaVu Serif" w:hAnsi="DejaVu Serif" w:eastAsia="DejaVu Serif"/>
          <w:b/>
          <w:i w:val="0"/>
          <w:color w:val="444444"/>
          <w:sz w:val="20"/>
        </w:rPr>
        <w:t xml:space="preserve">will fail </w:t>
      </w:r>
      <w:r>
        <w:rPr>
          <w:rFonts w:ascii="DejaVu Serif" w:hAnsi="DejaVu Serif" w:eastAsia="DejaVu Serif"/>
          <w:b/>
          <w:i w:val="0"/>
          <w:color w:val="444444"/>
          <w:sz w:val="20"/>
        </w:rPr>
        <w:t xml:space="preserve">to make a promised payment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at the contracted time and in the contracted amount.</w:t>
      </w:r>
    </w:p>
    <w:p>
      <w:pPr>
        <w:autoSpaceDN w:val="0"/>
        <w:autoSpaceDE w:val="0"/>
        <w:widowControl/>
        <w:spacing w:line="240" w:lineRule="auto" w:before="526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282D35"/>
          <w:sz w:val="24"/>
        </w:rPr>
        <w:t>Maturity Risk Premium</w:t>
      </w:r>
    </w:p>
    <w:p>
      <w:pPr>
        <w:autoSpaceDN w:val="0"/>
        <w:autoSpaceDE w:val="0"/>
        <w:widowControl/>
        <w:spacing w:line="382" w:lineRule="auto" w:before="498" w:after="0"/>
        <w:ind w:left="0" w:right="22" w:firstLine="0"/>
        <w:jc w:val="both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The maturity risk premium is the additional return an investor requires for assuming interest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rate and reinvestment risk resulting from a longer investment maturity timeline. Maturity risk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premium increases with an increase in the maturity timeline. In other words, the longer the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maturity timeline of an investment, the higher the maturity risk premium.</w:t>
      </w:r>
    </w:p>
    <w:p>
      <w:pPr>
        <w:autoSpaceDN w:val="0"/>
        <w:autoSpaceDE w:val="0"/>
        <w:widowControl/>
        <w:spacing w:line="240" w:lineRule="auto" w:before="486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282D35"/>
          <w:sz w:val="24"/>
        </w:rPr>
        <w:t>Nominal Risk-free Interest Rate</w:t>
      </w:r>
    </w:p>
    <w:p>
      <w:pPr>
        <w:autoSpaceDN w:val="0"/>
        <w:autoSpaceDE w:val="0"/>
        <w:widowControl/>
        <w:spacing w:line="382" w:lineRule="auto" w:before="498" w:after="0"/>
        <w:ind w:left="0" w:right="30" w:firstLine="0"/>
        <w:jc w:val="both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The nominal risk-free interest rate is defined as the sum of the real risk-free interest rate and the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inflation premium. In other words, the nominal risk-free interest rate can be seen as the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combination of the real risk-free rate plus an inflation premium, as shown by the following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equation:</w:t>
      </w:r>
    </w:p>
    <w:p>
      <w:pPr>
        <w:autoSpaceDN w:val="0"/>
        <w:autoSpaceDE w:val="0"/>
        <w:widowControl/>
        <w:spacing w:line="240" w:lineRule="auto" w:before="446" w:after="0"/>
        <w:ind w:left="0" w:right="0" w:firstLine="0"/>
        <w:jc w:val="center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(1+Nominal risk-free rate)=(1+Real risk-free rate )(1+Inflation premium)</w:t>
      </w:r>
    </w:p>
    <w:p>
      <w:pPr>
        <w:autoSpaceDN w:val="0"/>
        <w:autoSpaceDE w:val="0"/>
        <w:widowControl/>
        <w:spacing w:line="240" w:lineRule="auto" w:before="50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The above equation is generally approximated as follows:</w:t>
      </w:r>
    </w:p>
    <w:p>
      <w:pPr>
        <w:autoSpaceDN w:val="0"/>
        <w:autoSpaceDE w:val="0"/>
        <w:widowControl/>
        <w:spacing w:line="240" w:lineRule="auto" w:before="446" w:after="0"/>
        <w:ind w:left="0" w:right="0" w:firstLine="0"/>
        <w:jc w:val="center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Nominal risk-free rate=Real risk-free rate+Inflation premium</w:t>
      </w:r>
    </w:p>
    <w:p>
      <w:pPr>
        <w:autoSpaceDN w:val="0"/>
        <w:autoSpaceDE w:val="0"/>
        <w:widowControl/>
        <w:spacing w:line="334" w:lineRule="auto" w:before="48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Most rates quoted on short-term government debts can be taken as nominal risk-free interest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rates over the respective maturity.</w:t>
      </w:r>
    </w:p>
    <w:p>
      <w:pPr>
        <w:autoSpaceDN w:val="0"/>
        <w:tabs>
          <w:tab w:pos="8020" w:val="left"/>
        </w:tabs>
        <w:autoSpaceDE w:val="0"/>
        <w:widowControl/>
        <w:spacing w:line="295" w:lineRule="auto" w:before="984" w:after="0"/>
        <w:ind w:left="4902" w:right="0" w:firstLine="0"/>
        <w:jc w:val="left"/>
      </w:pPr>
      <w:r>
        <w:rPr>
          <w:rFonts w:ascii="DejaVu Serif" w:hAnsi="DejaVu Serif" w:eastAsia="DejaVu Serif"/>
          <w:b w:val="0"/>
          <w:i w:val="0"/>
          <w:color w:val="000000"/>
          <w:sz w:val="18"/>
        </w:rPr>
        <w:t>5</w:t>
      </w:r>
      <w:r>
        <w:br/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© 2014-2024 AnalystPrep.</w:t>
      </w:r>
    </w:p>
    <w:p>
      <w:pPr>
        <w:sectPr>
          <w:pgSz w:w="12240" w:h="15840"/>
          <w:pgMar w:top="628" w:right="1140" w:bottom="320" w:left="11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6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40.0" w:type="dxa"/>
      </w:tblPr>
      <w:tblGrid>
        <w:gridCol w:w="9940"/>
      </w:tblGrid>
      <w:tr>
        <w:trPr>
          <w:trHeight w:hRule="exact" w:val="1016"/>
        </w:trPr>
        <w:tc>
          <w:tcPr>
            <w:tcW w:type="dxa" w:w="9640"/>
            <w:tcBorders/>
            <w:shd w:fill="f6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74" w:after="0"/>
              <w:ind w:left="440" w:right="0" w:firstLine="0"/>
              <w:jc w:val="left"/>
            </w:pPr>
            <w:r>
              <w:rPr>
                <w:rFonts w:ascii="DejaVu Serif" w:hAnsi="DejaVu Serif" w:eastAsia="DejaVu Serif"/>
                <w:b/>
                <w:i w:val="0"/>
                <w:color w:val="282D35"/>
                <w:sz w:val="24"/>
              </w:rPr>
              <w:t>Question</w:t>
            </w:r>
          </w:p>
        </w:tc>
      </w:tr>
    </w:tbl>
    <w:p>
      <w:pPr>
        <w:autoSpaceDN w:val="0"/>
        <w:autoSpaceDE w:val="0"/>
        <w:widowControl/>
        <w:spacing w:line="365" w:lineRule="auto" w:before="418" w:after="326"/>
        <w:ind w:left="580" w:right="604" w:firstLine="0"/>
        <w:jc w:val="both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Which of the following is most likely an interpretation of interest rate as a benefit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foregone when investors spend money on current consumption instead of saving or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investing?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80.0" w:type="dxa"/>
      </w:tblPr>
      <w:tblGrid>
        <w:gridCol w:w="9940"/>
      </w:tblGrid>
      <w:tr>
        <w:trPr>
          <w:trHeight w:hRule="exact" w:val="354"/>
        </w:trPr>
        <w:tc>
          <w:tcPr>
            <w:tcW w:type="dxa" w:w="5820"/>
            <w:tcBorders/>
            <w:shd w:fill="f6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70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A. Discount rate.</w:t>
            </w:r>
          </w:p>
        </w:tc>
      </w:tr>
    </w:tbl>
    <w:p>
      <w:pPr>
        <w:autoSpaceDN w:val="0"/>
        <w:autoSpaceDE w:val="0"/>
        <w:widowControl/>
        <w:spacing w:line="26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80.0" w:type="dxa"/>
      </w:tblPr>
      <w:tblGrid>
        <w:gridCol w:w="9940"/>
      </w:tblGrid>
      <w:tr>
        <w:trPr>
          <w:trHeight w:hRule="exact" w:val="354"/>
        </w:trPr>
        <w:tc>
          <w:tcPr>
            <w:tcW w:type="dxa" w:w="6000"/>
            <w:tcBorders/>
            <w:shd w:fill="f6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70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B. Opportunity cost.</w:t>
            </w:r>
          </w:p>
        </w:tc>
      </w:tr>
    </w:tbl>
    <w:p>
      <w:pPr>
        <w:autoSpaceDN w:val="0"/>
        <w:autoSpaceDE w:val="0"/>
        <w:widowControl/>
        <w:spacing w:line="26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80.0" w:type="dxa"/>
      </w:tblPr>
      <w:tblGrid>
        <w:gridCol w:w="9940"/>
      </w:tblGrid>
      <w:tr>
        <w:trPr>
          <w:trHeight w:hRule="exact" w:val="354"/>
        </w:trPr>
        <w:tc>
          <w:tcPr>
            <w:tcW w:type="dxa" w:w="6320"/>
            <w:tcBorders/>
            <w:shd w:fill="f6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70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C. Required rate of return.</w:t>
            </w:r>
          </w:p>
        </w:tc>
      </w:tr>
    </w:tbl>
    <w:p>
      <w:pPr>
        <w:autoSpaceDN w:val="0"/>
        <w:autoSpaceDE w:val="0"/>
        <w:widowControl/>
        <w:spacing w:line="26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80.0" w:type="dxa"/>
      </w:tblPr>
      <w:tblGrid>
        <w:gridCol w:w="9940"/>
      </w:tblGrid>
      <w:tr>
        <w:trPr>
          <w:trHeight w:hRule="exact" w:val="356"/>
        </w:trPr>
        <w:tc>
          <w:tcPr>
            <w:tcW w:type="dxa" w:w="5440"/>
            <w:tcBorders/>
            <w:shd w:fill="f6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300" w:right="0" w:firstLine="0"/>
              <w:jc w:val="left"/>
            </w:pPr>
            <w:r>
              <w:rPr>
                <w:rFonts w:ascii="DejaVu Serif" w:hAnsi="DejaVu Serif" w:eastAsia="DejaVu Serif"/>
                <w:b/>
                <w:i w:val="0"/>
                <w:color w:val="444444"/>
                <w:sz w:val="20"/>
              </w:rPr>
              <w:t>Solution</w:t>
            </w:r>
          </w:p>
        </w:tc>
      </w:tr>
    </w:tbl>
    <w:p>
      <w:pPr>
        <w:autoSpaceDN w:val="0"/>
        <w:autoSpaceDE w:val="0"/>
        <w:widowControl/>
        <w:spacing w:line="26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80.0" w:type="dxa"/>
      </w:tblPr>
      <w:tblGrid>
        <w:gridCol w:w="9940"/>
      </w:tblGrid>
      <w:tr>
        <w:trPr>
          <w:trHeight w:hRule="exact" w:val="356"/>
        </w:trPr>
        <w:tc>
          <w:tcPr>
            <w:tcW w:type="dxa" w:w="6220"/>
            <w:tcBorders/>
            <w:shd w:fill="f6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30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The correct answer is </w:t>
            </w:r>
            <w:r>
              <w:rPr>
                <w:rFonts w:ascii="DejaVu Serif" w:hAnsi="DejaVu Serif" w:eastAsia="DejaVu Serif"/>
                <w:b/>
                <w:i w:val="0"/>
                <w:color w:val="444444"/>
                <w:sz w:val="20"/>
              </w:rPr>
              <w:t>B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365" w:lineRule="auto" w:before="326" w:after="0"/>
        <w:ind w:left="580" w:right="606" w:firstLine="0"/>
        <w:jc w:val="both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Opportunity cost is a key factor in interpreting interest rates. It refers to the interest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foregone when investors opt for an alternate option, such as spending on current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consumption instead of saving or investing.</w:t>
      </w:r>
    </w:p>
    <w:p>
      <w:pPr>
        <w:autoSpaceDN w:val="0"/>
        <w:autoSpaceDE w:val="0"/>
        <w:widowControl/>
        <w:spacing w:line="336" w:lineRule="auto" w:before="384" w:after="0"/>
        <w:ind w:left="580" w:right="576" w:firstLine="0"/>
        <w:jc w:val="left"/>
      </w:pPr>
      <w:r>
        <w:rPr>
          <w:rFonts w:ascii="DejaVu Serif" w:hAnsi="DejaVu Serif" w:eastAsia="DejaVu Serif"/>
          <w:b/>
          <w:i w:val="0"/>
          <w:color w:val="444444"/>
          <w:sz w:val="20"/>
        </w:rPr>
        <w:t>A is incorrect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.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The discount rate is the interest rate used to discount future cash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flows to reach the present value.</w:t>
      </w:r>
    </w:p>
    <w:p>
      <w:pPr>
        <w:autoSpaceDN w:val="0"/>
        <w:autoSpaceDE w:val="0"/>
        <w:widowControl/>
        <w:spacing w:line="240" w:lineRule="auto" w:before="384" w:after="126"/>
        <w:ind w:left="0" w:right="0" w:firstLine="0"/>
        <w:jc w:val="center"/>
      </w:pPr>
      <w:r>
        <w:rPr>
          <w:rFonts w:ascii="DejaVu Serif" w:hAnsi="DejaVu Serif" w:eastAsia="DejaVu Serif"/>
          <w:b/>
          <w:i w:val="0"/>
          <w:color w:val="444444"/>
          <w:sz w:val="20"/>
        </w:rPr>
        <w:t>C is incorrect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. The required rate of return is the minimum rate of return an investor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0.0" w:type="dxa"/>
      </w:tblPr>
      <w:tblGrid>
        <w:gridCol w:w="9940"/>
      </w:tblGrid>
      <w:tr>
        <w:trPr>
          <w:trHeight w:hRule="exact" w:val="354"/>
        </w:trPr>
        <w:tc>
          <w:tcPr>
            <w:tcW w:type="dxa" w:w="7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30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would wish to earn to postpone current consumption.</w:t>
            </w:r>
          </w:p>
        </w:tc>
      </w:tr>
    </w:tbl>
    <w:p>
      <w:pPr>
        <w:autoSpaceDN w:val="0"/>
        <w:tabs>
          <w:tab w:pos="8020" w:val="left"/>
        </w:tabs>
        <w:autoSpaceDE w:val="0"/>
        <w:widowControl/>
        <w:spacing w:line="295" w:lineRule="auto" w:before="4324" w:after="0"/>
        <w:ind w:left="4902" w:right="0" w:firstLine="0"/>
        <w:jc w:val="left"/>
      </w:pPr>
      <w:r>
        <w:rPr>
          <w:rFonts w:ascii="DejaVu Serif" w:hAnsi="DejaVu Serif" w:eastAsia="DejaVu Serif"/>
          <w:b w:val="0"/>
          <w:i w:val="0"/>
          <w:color w:val="000000"/>
          <w:sz w:val="18"/>
        </w:rPr>
        <w:t>6</w:t>
      </w:r>
      <w:r>
        <w:br/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© 2014-2024 AnalystPrep.</w:t>
      </w:r>
    </w:p>
    <w:p>
      <w:pPr>
        <w:sectPr>
          <w:pgSz w:w="12240" w:h="15840"/>
          <w:pgMar w:top="580" w:right="1140" w:bottom="320" w:left="11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86"/>
        <w:ind w:left="0" w:right="0"/>
      </w:pPr>
    </w:p>
    <w:p>
      <w:pPr>
        <w:autoSpaceDN w:val="0"/>
        <w:autoSpaceDE w:val="0"/>
        <w:widowControl/>
        <w:spacing w:line="290" w:lineRule="auto" w:before="0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282D35"/>
          <w:sz w:val="24"/>
        </w:rPr>
        <w:t xml:space="preserve">LOS 1b: calculate and interpret different approaches to return </w:t>
      </w:r>
      <w:r>
        <w:rPr>
          <w:rFonts w:ascii="DejaVu Serif" w:hAnsi="DejaVu Serif" w:eastAsia="DejaVu Serif"/>
          <w:b/>
          <w:i w:val="0"/>
          <w:color w:val="282D35"/>
          <w:sz w:val="24"/>
        </w:rPr>
        <w:t>measurement over time and describe their appropriate uses</w:t>
      </w:r>
    </w:p>
    <w:p>
      <w:pPr>
        <w:autoSpaceDN w:val="0"/>
        <w:autoSpaceDE w:val="0"/>
        <w:widowControl/>
        <w:spacing w:line="365" w:lineRule="auto" w:before="538" w:after="0"/>
        <w:ind w:left="0" w:right="24" w:firstLine="0"/>
        <w:jc w:val="both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Financial assets are primarily defined based on their return-risk characteristics. This helps when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building a portfolio from all the assets available. Regarding returns, there are different ways of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measuring returns.</w:t>
      </w:r>
    </w:p>
    <w:p>
      <w:pPr>
        <w:autoSpaceDN w:val="0"/>
        <w:autoSpaceDE w:val="0"/>
        <w:widowControl/>
        <w:spacing w:line="365" w:lineRule="auto" w:before="386" w:after="0"/>
        <w:ind w:left="0" w:right="24" w:firstLine="0"/>
        <w:jc w:val="both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Financial market assets generate two different streams of return: income through cash dividends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or interest payments and capital gain or loss through financial asset price increases or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decreases.</w:t>
      </w:r>
    </w:p>
    <w:p>
      <w:pPr>
        <w:autoSpaceDN w:val="0"/>
        <w:autoSpaceDE w:val="0"/>
        <w:widowControl/>
        <w:spacing w:line="365" w:lineRule="auto" w:before="386" w:after="0"/>
        <w:ind w:left="0" w:right="22" w:firstLine="0"/>
        <w:jc w:val="both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Some financial assets give only one stream of return. For instance, headline stock market indices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typically report on price appreciation only. They do not include the dividend income unless the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index specifies it is a “total return” series.</w:t>
      </w:r>
    </w:p>
    <w:p>
      <w:pPr>
        <w:autoSpaceDN w:val="0"/>
        <w:autoSpaceDE w:val="0"/>
        <w:widowControl/>
        <w:spacing w:line="240" w:lineRule="auto" w:before="690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282D35"/>
          <w:sz w:val="28"/>
        </w:rPr>
        <w:t>Holding Period Return</w:t>
      </w:r>
    </w:p>
    <w:p>
      <w:pPr>
        <w:autoSpaceDN w:val="0"/>
        <w:autoSpaceDE w:val="0"/>
        <w:widowControl/>
        <w:spacing w:line="334" w:lineRule="auto" w:before="628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A holding period return is earned from holding an asset for a single specified period. The time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period can be any specified period, such as a day, month, or ten years.</w:t>
      </w:r>
    </w:p>
    <w:p>
      <w:pPr>
        <w:autoSpaceDN w:val="0"/>
        <w:autoSpaceDE w:val="0"/>
        <w:widowControl/>
        <w:spacing w:line="240" w:lineRule="auto" w:before="386" w:after="366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The general formula of the holding period return is given by: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485"/>
        <w:gridCol w:w="2485"/>
        <w:gridCol w:w="2485"/>
        <w:gridCol w:w="2485"/>
      </w:tblGrid>
      <w:tr>
        <w:trPr>
          <w:trHeight w:hRule="exact" w:val="376"/>
        </w:trPr>
        <w:tc>
          <w:tcPr>
            <w:tcW w:type="dxa" w:w="4540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240" w:after="0"/>
              <w:ind w:left="0" w:right="74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R =</w:t>
            </w:r>
          </w:p>
        </w:tc>
        <w:tc>
          <w:tcPr>
            <w:tcW w:type="dxa" w:w="340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60" w:after="0"/>
              <w:ind w:left="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(P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1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−P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0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) + I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1</w:t>
            </w:r>
          </w:p>
        </w:tc>
      </w:tr>
      <w:tr>
        <w:trPr>
          <w:trHeight w:hRule="exact" w:val="490"/>
        </w:trPr>
        <w:tc>
          <w:tcPr>
            <w:tcW w:type="dxa" w:w="7455"/>
            <w:gridSpan w:val="3"/>
            <w:vMerge/>
            <w:tcBorders/>
          </w:tcPr>
          <w:p/>
        </w:tc>
        <w:tc>
          <w:tcPr>
            <w:tcW w:type="dxa" w:w="340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4" w:after="0"/>
              <w:ind w:left="52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P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0</w:t>
            </w:r>
          </w:p>
        </w:tc>
      </w:tr>
      <w:tr>
        <w:trPr>
          <w:trHeight w:hRule="exact" w:val="660"/>
        </w:trPr>
        <w:tc>
          <w:tcPr>
            <w:tcW w:type="dxa" w:w="2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34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P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0</w:t>
            </w:r>
          </w:p>
        </w:tc>
        <w:tc>
          <w:tcPr>
            <w:tcW w:type="dxa" w:w="7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34" w:after="0"/>
              <w:ind w:left="14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= Price of an asset at the beginning of the period (t=0).</w:t>
            </w:r>
          </w:p>
        </w:tc>
      </w:tr>
      <w:tr>
        <w:trPr>
          <w:trHeight w:hRule="exact" w:val="620"/>
        </w:trPr>
        <w:tc>
          <w:tcPr>
            <w:tcW w:type="dxa" w:w="2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94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P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1</w:t>
            </w:r>
          </w:p>
        </w:tc>
        <w:tc>
          <w:tcPr>
            <w:tcW w:type="dxa" w:w="7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94" w:after="0"/>
              <w:ind w:left="14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= Price of an asset at the end of the period (t=1).</w:t>
            </w:r>
          </w:p>
        </w:tc>
      </w:tr>
      <w:tr>
        <w:trPr>
          <w:trHeight w:hRule="exact" w:val="494"/>
        </w:trPr>
        <w:tc>
          <w:tcPr>
            <w:tcW w:type="dxa" w:w="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94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I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1</w:t>
            </w:r>
          </w:p>
        </w:tc>
        <w:tc>
          <w:tcPr>
            <w:tcW w:type="dxa" w:w="77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94" w:after="0"/>
              <w:ind w:left="18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= Income received at the end of the period (t=1).</w:t>
            </w:r>
          </w:p>
        </w:tc>
      </w:tr>
    </w:tbl>
    <w:p>
      <w:pPr>
        <w:autoSpaceDN w:val="0"/>
        <w:autoSpaceDE w:val="0"/>
        <w:widowControl/>
        <w:spacing w:line="240" w:lineRule="auto" w:before="318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444444"/>
          <w:sz w:val="20"/>
        </w:rPr>
        <w:t>Example: Calculating Holding Period Return</w:t>
      </w:r>
    </w:p>
    <w:p>
      <w:pPr>
        <w:autoSpaceDN w:val="0"/>
        <w:autoSpaceDE w:val="0"/>
        <w:widowControl/>
        <w:spacing w:line="334" w:lineRule="auto" w:before="386" w:after="0"/>
        <w:ind w:left="0" w:right="0" w:firstLine="0"/>
        <w:jc w:val="center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An investor purchased 100 shares of a stock at $50 per share and held the investment for one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year. During that period, the stock paid dividends of $2 per share. At the end of the year, the</w:t>
      </w:r>
    </w:p>
    <w:p>
      <w:pPr>
        <w:autoSpaceDN w:val="0"/>
        <w:tabs>
          <w:tab w:pos="8020" w:val="left"/>
        </w:tabs>
        <w:autoSpaceDE w:val="0"/>
        <w:widowControl/>
        <w:spacing w:line="295" w:lineRule="auto" w:before="744" w:after="0"/>
        <w:ind w:left="4902" w:right="0" w:firstLine="0"/>
        <w:jc w:val="left"/>
      </w:pPr>
      <w:r>
        <w:rPr>
          <w:rFonts w:ascii="DejaVu Serif" w:hAnsi="DejaVu Serif" w:eastAsia="DejaVu Serif"/>
          <w:b w:val="0"/>
          <w:i w:val="0"/>
          <w:color w:val="000000"/>
          <w:sz w:val="18"/>
        </w:rPr>
        <w:t>7</w:t>
      </w:r>
      <w:r>
        <w:br/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© 2014-2024 AnalystPrep.</w:t>
      </w:r>
    </w:p>
    <w:p>
      <w:pPr>
        <w:sectPr>
          <w:pgSz w:w="12240" w:h="15840"/>
          <w:pgMar w:top="608" w:right="1140" w:bottom="320" w:left="11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0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investor sold all the shares for $60 per share.</w:t>
      </w:r>
    </w:p>
    <w:p>
      <w:pPr>
        <w:autoSpaceDN w:val="0"/>
        <w:autoSpaceDE w:val="0"/>
        <w:widowControl/>
        <w:spacing w:line="240" w:lineRule="auto" w:before="382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The holding period return is closest to:</w:t>
      </w:r>
    </w:p>
    <w:p>
      <w:pPr>
        <w:autoSpaceDN w:val="0"/>
        <w:autoSpaceDE w:val="0"/>
        <w:widowControl/>
        <w:spacing w:line="240" w:lineRule="auto" w:before="384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444444"/>
          <w:sz w:val="20"/>
        </w:rPr>
        <w:t>Solution</w:t>
      </w:r>
    </w:p>
    <w:p>
      <w:pPr>
        <w:autoSpaceDN w:val="0"/>
        <w:autoSpaceDE w:val="0"/>
        <w:widowControl/>
        <w:spacing w:line="240" w:lineRule="auto" w:before="38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In this case, we have:</w:t>
      </w:r>
    </w:p>
    <w:p>
      <w:pPr>
        <w:autoSpaceDN w:val="0"/>
        <w:tabs>
          <w:tab w:pos="2860" w:val="left"/>
        </w:tabs>
        <w:autoSpaceDE w:val="0"/>
        <w:widowControl/>
        <w:spacing w:line="264" w:lineRule="auto" w:before="466" w:after="0"/>
        <w:ind w:left="2800" w:right="2736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P</w:t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0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 = 100 shares × $50 per share = $5,000 </w:t>
      </w:r>
      <w:r>
        <w:br/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I</w:t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1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 = 100 shares × $2 per share = $200 </w:t>
      </w:r>
      <w:r>
        <w:br/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P</w:t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1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 = 100 shares × $60 per share = $6,000</w:t>
      </w:r>
    </w:p>
    <w:p>
      <w:pPr>
        <w:autoSpaceDN w:val="0"/>
        <w:autoSpaceDE w:val="0"/>
        <w:widowControl/>
        <w:spacing w:line="240" w:lineRule="auto" w:before="466" w:after="366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Therefore,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20.0" w:type="dxa"/>
      </w:tblPr>
      <w:tblGrid>
        <w:gridCol w:w="2485"/>
        <w:gridCol w:w="2485"/>
        <w:gridCol w:w="2485"/>
        <w:gridCol w:w="2485"/>
      </w:tblGrid>
      <w:tr>
        <w:trPr>
          <w:trHeight w:hRule="exact" w:val="376"/>
        </w:trPr>
        <w:tc>
          <w:tcPr>
            <w:tcW w:type="dxa" w:w="180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12" w:after="0"/>
              <w:ind w:left="0" w:right="260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R </w:t>
            </w:r>
          </w:p>
        </w:tc>
        <w:tc>
          <w:tcPr>
            <w:tcW w:type="dxa" w:w="130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6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(P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1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−P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0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) + I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1</w:t>
            </w:r>
          </w:p>
        </w:tc>
        <w:tc>
          <w:tcPr>
            <w:tcW w:type="dxa" w:w="28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88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046" w:val="left"/>
              </w:tabs>
              <w:autoSpaceDE w:val="0"/>
              <w:widowControl/>
              <w:spacing w:line="245" w:lineRule="auto" w:before="0" w:after="0"/>
              <w:ind w:left="0" w:right="1296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6,000 −5,000 + 200</w:t>
            </w:r>
            <w:r>
              <w:br/>
            </w:r>
            <w:r>
              <w:tab/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24%</w:t>
            </w:r>
          </w:p>
        </w:tc>
      </w:tr>
      <w:tr>
        <w:trPr>
          <w:trHeight w:hRule="exact" w:val="344"/>
        </w:trPr>
        <w:tc>
          <w:tcPr>
            <w:tcW w:type="dxa" w:w="180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94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=</w:t>
            </w:r>
          </w:p>
        </w:tc>
        <w:tc>
          <w:tcPr>
            <w:tcW w:type="dxa" w:w="130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4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P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0</w:t>
            </w:r>
          </w:p>
        </w:tc>
        <w:tc>
          <w:tcPr>
            <w:tcW w:type="dxa" w:w="28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=</w:t>
            </w:r>
          </w:p>
        </w:tc>
        <w:tc>
          <w:tcPr>
            <w:tcW w:type="dxa" w:w="388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00.0" w:type="dxa"/>
            </w:tblPr>
            <w:tblGrid>
              <w:gridCol w:w="1940"/>
              <w:gridCol w:w="1940"/>
            </w:tblGrid>
            <w:tr>
              <w:trPr>
                <w:trHeight w:hRule="exact" w:val="338"/>
              </w:trPr>
              <w:tc>
                <w:tcPr>
                  <w:tcW w:type="dxa" w:w="12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82" w:after="0"/>
                    <w:ind w:left="0" w:right="0" w:firstLine="0"/>
                    <w:jc w:val="center"/>
                  </w:pPr>
                  <w:r>
                    <w:rPr>
                      <w:rFonts w:ascii="DejaVu Serif" w:hAnsi="DejaVu Serif" w:eastAsia="DejaVu Serif"/>
                      <w:b w:val="0"/>
                      <w:i w:val="0"/>
                      <w:color w:val="282D35"/>
                      <w:sz w:val="20"/>
                    </w:rPr>
                    <w:t>5, 000</w:t>
                  </w:r>
                </w:p>
              </w:tc>
              <w:tc>
                <w:tcPr>
                  <w:tcW w:type="dxa" w:w="14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340" w:right="0" w:firstLine="0"/>
                    <w:jc w:val="left"/>
                  </w:pPr>
                  <w:r>
                    <w:rPr>
                      <w:rFonts w:ascii="DejaVu Serif" w:hAnsi="DejaVu Serif" w:eastAsia="DejaVu Serif"/>
                      <w:b w:val="0"/>
                      <w:i w:val="0"/>
                      <w:color w:val="282D35"/>
                      <w:sz w:val="20"/>
                    </w:rPr>
                    <w:t>=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365" w:lineRule="auto" w:before="380" w:after="366"/>
        <w:ind w:left="0" w:right="34" w:firstLine="0"/>
        <w:jc w:val="both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Holding period returns can also be calculated for periods longer than a year. For instance, if we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need to calculate the holding period return for a five-year period, we should compound the five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annual returns as follows: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960.0" w:type="dxa"/>
      </w:tblPr>
      <w:tblGrid>
        <w:gridCol w:w="4970"/>
        <w:gridCol w:w="4970"/>
      </w:tblGrid>
      <w:tr>
        <w:trPr>
          <w:trHeight w:hRule="exact" w:val="396"/>
        </w:trPr>
        <w:tc>
          <w:tcPr>
            <w:tcW w:type="dxa" w:w="244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32" w:after="0"/>
              <w:ind w:left="0" w:right="240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R </w:t>
            </w:r>
          </w:p>
        </w:tc>
        <w:tc>
          <w:tcPr>
            <w:tcW w:type="dxa" w:w="356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60" w:after="0"/>
              <w:ind w:left="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(P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5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−P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0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) + I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(1−5)</w:t>
            </w:r>
          </w:p>
        </w:tc>
      </w:tr>
      <w:tr>
        <w:trPr>
          <w:trHeight w:hRule="exact" w:val="344"/>
        </w:trPr>
        <w:tc>
          <w:tcPr>
            <w:tcW w:type="dxa" w:w="244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74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=</w:t>
            </w:r>
          </w:p>
        </w:tc>
        <w:tc>
          <w:tcPr>
            <w:tcW w:type="dxa" w:w="356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4" w:after="0"/>
              <w:ind w:left="66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P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0</w:t>
            </w:r>
          </w:p>
        </w:tc>
      </w:tr>
    </w:tbl>
    <w:p>
      <w:pPr>
        <w:autoSpaceDN w:val="0"/>
        <w:autoSpaceDE w:val="0"/>
        <w:widowControl/>
        <w:spacing w:line="240" w:lineRule="auto" w:before="484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282D35"/>
          <w:sz w:val="28"/>
        </w:rPr>
        <w:t>Arithmetic Return</w:t>
      </w:r>
    </w:p>
    <w:p>
      <w:pPr>
        <w:autoSpaceDN w:val="0"/>
        <w:autoSpaceDE w:val="0"/>
        <w:widowControl/>
        <w:spacing w:line="334" w:lineRule="auto" w:before="628" w:after="286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When we have assets for multiple holding periods, it is necessary to aggregate the returns into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one overall return.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313"/>
        <w:gridCol w:w="3313"/>
        <w:gridCol w:w="3313"/>
      </w:tblGrid>
      <w:tr>
        <w:trPr>
          <w:trHeight w:hRule="exact" w:val="400"/>
        </w:trPr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Denoted by </w:t>
            </w:r>
          </w:p>
        </w:tc>
        <w:tc>
          <w:tcPr>
            <w:tcW w:type="dxa" w:w="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auto" w:before="6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¯R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i</w:t>
            </w:r>
          </w:p>
        </w:tc>
        <w:tc>
          <w:tcPr>
            <w:tcW w:type="dxa" w:w="8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arithmetic mean for an asset  is a simple process of finding the average holding</w:t>
            </w:r>
          </w:p>
        </w:tc>
      </w:tr>
    </w:tbl>
    <w:p>
      <w:pPr>
        <w:autoSpaceDN w:val="0"/>
        <w:autoSpaceDE w:val="0"/>
        <w:widowControl/>
        <w:spacing w:line="240" w:lineRule="auto" w:before="120" w:after="406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period returns. It is given by: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80.0" w:type="dxa"/>
      </w:tblPr>
      <w:tblGrid>
        <w:gridCol w:w="1657"/>
        <w:gridCol w:w="1657"/>
        <w:gridCol w:w="1657"/>
        <w:gridCol w:w="1657"/>
        <w:gridCol w:w="1657"/>
        <w:gridCol w:w="1657"/>
      </w:tblGrid>
      <w:tr>
        <w:trPr>
          <w:trHeight w:hRule="exact" w:val="240"/>
        </w:trPr>
        <w:tc>
          <w:tcPr>
            <w:tcW w:type="dxa" w:w="1900"/>
            <w:vMerge w:val="restart"/>
            <w:tcBorders>
              <w:bottom w:sz="8.0" w:val="single" w:color="#282D3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92" w:after="0"/>
              <w:ind w:left="0" w:right="370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¯R</w:t>
            </w:r>
          </w:p>
        </w:tc>
        <w:tc>
          <w:tcPr>
            <w:tcW w:type="dxa" w:w="2760"/>
            <w:vMerge w:val="restart"/>
            <w:tcBorders>
              <w:bottom w:sz="8.0" w:val="single" w:color="#282D3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auto" w:before="6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R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i,1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+ R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i,2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+ … + R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i,T−1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+ R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iT</w:t>
            </w:r>
          </w:p>
        </w:tc>
        <w:tc>
          <w:tcPr>
            <w:tcW w:type="dxa" w:w="280"/>
            <w:vMerge w:val="restart"/>
            <w:tcBorders>
              <w:bottom w:sz="8.0" w:val="single" w:color="#282D3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80"/>
            <w:vMerge w:val="restart"/>
            <w:tcBorders>
              <w:bottom w:sz="8.0" w:val="single" w:color="#282D3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1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T</w:t>
            </w:r>
          </w:p>
        </w:tc>
        <w:tc>
          <w:tcPr>
            <w:tcW w:type="dxa" w:w="1660"/>
            <w:vMerge w:val="restart"/>
            <w:tcBorders>
              <w:bottom w:sz="8.0" w:val="single" w:color="#282D3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2" w:after="0"/>
              <w:ind w:left="4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R</w:t>
            </w:r>
          </w:p>
        </w:tc>
      </w:tr>
      <w:tr>
        <w:trPr>
          <w:trHeight w:hRule="exact" w:val="136"/>
        </w:trPr>
        <w:tc>
          <w:tcPr>
            <w:tcW w:type="dxa" w:w="1657"/>
            <w:vMerge/>
            <w:tcBorders>
              <w:bottom w:sz="8.0" w:val="single" w:color="#282D35"/>
            </w:tcBorders>
          </w:tcPr>
          <w:p/>
        </w:tc>
        <w:tc>
          <w:tcPr>
            <w:tcW w:type="dxa" w:w="1657"/>
            <w:vMerge/>
            <w:tcBorders>
              <w:bottom w:sz="8.0" w:val="single" w:color="#282D35"/>
            </w:tcBorders>
          </w:tcPr>
          <w:p/>
        </w:tc>
        <w:tc>
          <w:tcPr>
            <w:tcW w:type="dxa" w:w="1657"/>
            <w:vMerge/>
            <w:tcBorders>
              <w:bottom w:sz="8.0" w:val="single" w:color="#282D35"/>
            </w:tcBorders>
          </w:tcPr>
          <w:p/>
        </w:tc>
        <w:tc>
          <w:tcPr>
            <w:tcW w:type="dxa" w:w="1657"/>
            <w:vMerge/>
            <w:tcBorders>
              <w:bottom w:sz="8.0" w:val="single" w:color="#282D35"/>
            </w:tcBorders>
          </w:tcPr>
          <w:p/>
        </w:tc>
        <w:tc>
          <w:tcPr>
            <w:tcW w:type="dxa" w:w="36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6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∑</w:t>
            </w:r>
          </w:p>
        </w:tc>
        <w:tc>
          <w:tcPr>
            <w:tcW w:type="dxa" w:w="1657"/>
            <w:vMerge/>
            <w:tcBorders>
              <w:bottom w:sz="8.0" w:val="single" w:color="#282D35"/>
            </w:tcBorders>
          </w:tcPr>
          <w:p/>
        </w:tc>
      </w:tr>
      <w:tr>
        <w:trPr>
          <w:trHeight w:hRule="exact" w:val="90"/>
        </w:trPr>
        <w:tc>
          <w:tcPr>
            <w:tcW w:type="dxa" w:w="1900"/>
            <w:vMerge w:val="restart"/>
            <w:tcBorders>
              <w:top w:sz="8.0" w:val="single" w:color="#282D3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94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i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=</w:t>
            </w:r>
          </w:p>
        </w:tc>
        <w:tc>
          <w:tcPr>
            <w:tcW w:type="dxa" w:w="2760"/>
            <w:vMerge w:val="restart"/>
            <w:tcBorders>
              <w:top w:sz="8.0" w:val="single" w:color="#282D3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T</w:t>
            </w:r>
          </w:p>
        </w:tc>
        <w:tc>
          <w:tcPr>
            <w:tcW w:type="dxa" w:w="280"/>
            <w:vMerge w:val="restart"/>
            <w:tcBorders>
              <w:top w:sz="8.0" w:val="single" w:color="#282D3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=</w:t>
            </w:r>
          </w:p>
        </w:tc>
        <w:tc>
          <w:tcPr>
            <w:tcW w:type="dxa" w:w="180"/>
            <w:vMerge w:val="restart"/>
            <w:tcBorders>
              <w:top w:sz="8.0" w:val="single" w:color="#282D3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T</w:t>
            </w:r>
          </w:p>
        </w:tc>
        <w:tc>
          <w:tcPr>
            <w:tcW w:type="dxa" w:w="36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60"/>
            <w:vMerge w:val="restart"/>
            <w:tcBorders>
              <w:top w:sz="8.0" w:val="single" w:color="#282D3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0" w:after="0"/>
              <w:ind w:left="18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it</w:t>
            </w:r>
          </w:p>
        </w:tc>
      </w:tr>
      <w:tr>
        <w:trPr>
          <w:trHeight w:hRule="exact" w:val="274"/>
        </w:trPr>
        <w:tc>
          <w:tcPr>
            <w:tcW w:type="dxa" w:w="1657"/>
            <w:vMerge/>
            <w:tcBorders>
              <w:top w:sz="8.0" w:val="single" w:color="#282D35"/>
            </w:tcBorders>
          </w:tcPr>
          <w:p/>
        </w:tc>
        <w:tc>
          <w:tcPr>
            <w:tcW w:type="dxa" w:w="1657"/>
            <w:vMerge/>
            <w:tcBorders>
              <w:top w:sz="8.0" w:val="single" w:color="#282D35"/>
            </w:tcBorders>
          </w:tcPr>
          <w:p/>
        </w:tc>
        <w:tc>
          <w:tcPr>
            <w:tcW w:type="dxa" w:w="1657"/>
            <w:vMerge/>
            <w:tcBorders>
              <w:top w:sz="8.0" w:val="single" w:color="#282D35"/>
            </w:tcBorders>
          </w:tcPr>
          <w:p/>
        </w:tc>
        <w:tc>
          <w:tcPr>
            <w:tcW w:type="dxa" w:w="1657"/>
            <w:vMerge/>
            <w:tcBorders>
              <w:top w:sz="8.0" w:val="single" w:color="#282D35"/>
            </w:tcBorders>
          </w:tcPr>
          <w:p/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3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t=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1</w:t>
            </w:r>
          </w:p>
        </w:tc>
        <w:tc>
          <w:tcPr>
            <w:tcW w:type="dxa" w:w="1657"/>
            <w:vMerge/>
            <w:tcBorders>
              <w:top w:sz="8.0" w:val="single" w:color="#282D35"/>
            </w:tcBorders>
          </w:tcPr>
          <w:p/>
        </w:tc>
      </w:tr>
    </w:tbl>
    <w:p>
      <w:pPr>
        <w:autoSpaceDN w:val="0"/>
        <w:autoSpaceDE w:val="0"/>
        <w:widowControl/>
        <w:spacing w:line="238" w:lineRule="auto" w:before="272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36"/>
        </w:rPr>
        <w:t>Where:</w:t>
      </w:r>
    </w:p>
    <w:p>
      <w:pPr>
        <w:autoSpaceDN w:val="0"/>
        <w:tabs>
          <w:tab w:pos="8020" w:val="left"/>
        </w:tabs>
        <w:autoSpaceDE w:val="0"/>
        <w:widowControl/>
        <w:spacing w:line="295" w:lineRule="auto" w:before="788" w:after="0"/>
        <w:ind w:left="4902" w:right="0" w:firstLine="0"/>
        <w:jc w:val="left"/>
      </w:pPr>
      <w:r>
        <w:rPr>
          <w:rFonts w:ascii="DejaVu Serif" w:hAnsi="DejaVu Serif" w:eastAsia="DejaVu Serif"/>
          <w:b w:val="0"/>
          <w:i w:val="0"/>
          <w:color w:val="000000"/>
          <w:sz w:val="18"/>
        </w:rPr>
        <w:t>8</w:t>
      </w:r>
      <w:r>
        <w:br/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© 2014-2024 AnalystPrep.</w:t>
      </w:r>
    </w:p>
    <w:p>
      <w:pPr>
        <w:sectPr>
          <w:pgSz w:w="12240" w:h="15840"/>
          <w:pgMar w:top="630" w:right="1140" w:bottom="320" w:left="11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06"/>
        <w:ind w:left="0" w:right="0"/>
      </w:pPr>
    </w:p>
    <w:p>
      <w:pPr>
        <w:autoSpaceDN w:val="0"/>
        <w:autoSpaceDE w:val="0"/>
        <w:widowControl/>
        <w:spacing w:line="266" w:lineRule="auto" w:before="0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R</w:t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it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 = Return of asset  in period .</w:t>
      </w:r>
    </w:p>
    <w:p>
      <w:pPr>
        <w:autoSpaceDN w:val="0"/>
        <w:autoSpaceDE w:val="0"/>
        <w:widowControl/>
        <w:spacing w:line="240" w:lineRule="auto" w:before="360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T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 = Total number of periods.</w:t>
      </w:r>
    </w:p>
    <w:p>
      <w:pPr>
        <w:autoSpaceDN w:val="0"/>
        <w:autoSpaceDE w:val="0"/>
        <w:widowControl/>
        <w:spacing w:line="252" w:lineRule="auto" w:before="278" w:after="386"/>
        <w:ind w:left="0" w:right="32" w:firstLine="0"/>
        <w:jc w:val="both"/>
      </w:pPr>
      <w:r>
        <w:rPr>
          <w:rFonts w:ascii="DejaVu Serif" w:hAnsi="DejaVu Serif" w:eastAsia="DejaVu Serif"/>
          <w:b w:val="0"/>
          <w:i w:val="0"/>
          <w:color w:val="282D35"/>
          <w:sz w:val="36"/>
        </w:rPr>
        <w:t xml:space="preserve">For example, if a share has returned 15%, 10%, 12%, </w:t>
      </w:r>
      <w:r>
        <w:rPr>
          <w:rFonts w:ascii="DejaVu Serif" w:hAnsi="DejaVu Serif" w:eastAsia="DejaVu Serif"/>
          <w:b w:val="0"/>
          <w:i w:val="0"/>
          <w:color w:val="282D35"/>
          <w:sz w:val="36"/>
        </w:rPr>
        <w:t xml:space="preserve">and 3% over the last four years, then the arithmetic </w:t>
      </w:r>
      <w:r>
        <w:rPr>
          <w:rFonts w:ascii="DejaVu Serif" w:hAnsi="DejaVu Serif" w:eastAsia="DejaVu Serif"/>
          <w:b w:val="0"/>
          <w:i w:val="0"/>
          <w:color w:val="282D35"/>
          <w:sz w:val="36"/>
        </w:rPr>
        <w:t>mean is computed as follows: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1657"/>
        <w:gridCol w:w="1657"/>
        <w:gridCol w:w="1657"/>
        <w:gridCol w:w="1657"/>
        <w:gridCol w:w="1657"/>
        <w:gridCol w:w="1657"/>
      </w:tblGrid>
      <w:tr>
        <w:trPr>
          <w:trHeight w:hRule="exact" w:val="230"/>
        </w:trPr>
        <w:tc>
          <w:tcPr>
            <w:tcW w:type="dxa" w:w="1720"/>
            <w:vMerge w:val="restart"/>
            <w:tcBorders>
              <w:bottom w:sz="8.0" w:val="single" w:color="#282D3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6" w:after="0"/>
              <w:ind w:left="0" w:right="380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¯</w:t>
            </w:r>
          </w:p>
        </w:tc>
        <w:tc>
          <w:tcPr>
            <w:tcW w:type="dxa" w:w="180"/>
            <w:vMerge w:val="restart"/>
            <w:tcBorders>
              <w:bottom w:sz="8.0" w:val="single" w:color="#282D3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4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1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T</w:t>
            </w:r>
          </w:p>
        </w:tc>
        <w:tc>
          <w:tcPr>
            <w:tcW w:type="dxa" w:w="600"/>
            <w:vMerge w:val="restart"/>
            <w:tcBorders>
              <w:bottom w:sz="8.0" w:val="single" w:color="#282D3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6" w:after="0"/>
              <w:ind w:left="4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R</w:t>
            </w:r>
          </w:p>
        </w:tc>
        <w:tc>
          <w:tcPr>
            <w:tcW w:type="dxa" w:w="140"/>
            <w:vMerge w:val="restart"/>
            <w:tcBorders>
              <w:bottom w:sz="8.0" w:val="single" w:color="#282D3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4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1</w:t>
            </w:r>
          </w:p>
        </w:tc>
        <w:tc>
          <w:tcPr>
            <w:tcW w:type="dxa" w:w="4540"/>
            <w:vMerge w:val="restart"/>
            <w:tcBorders>
              <w:bottom w:sz="8.0" w:val="single" w:color="#282D3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96" w:after="0"/>
              <w:ind w:left="4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(15% + 10% + 12% + 3%)  10%</w:t>
            </w:r>
          </w:p>
        </w:tc>
      </w:tr>
      <w:tr>
        <w:trPr>
          <w:trHeight w:hRule="exact" w:val="130"/>
        </w:trPr>
        <w:tc>
          <w:tcPr>
            <w:tcW w:type="dxa" w:w="1657"/>
            <w:vMerge/>
            <w:tcBorders>
              <w:bottom w:sz="8.0" w:val="single" w:color="#282D35"/>
            </w:tcBorders>
          </w:tcPr>
          <w:p/>
        </w:tc>
        <w:tc>
          <w:tcPr>
            <w:tcW w:type="dxa" w:w="1657"/>
            <w:vMerge/>
            <w:tcBorders>
              <w:bottom w:sz="8.0" w:val="single" w:color="#282D35"/>
            </w:tcBorders>
          </w:tcPr>
          <w:p/>
        </w:tc>
        <w:tc>
          <w:tcPr>
            <w:tcW w:type="dxa" w:w="34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57"/>
            <w:vMerge/>
            <w:tcBorders>
              <w:bottom w:sz="8.0" w:val="single" w:color="#282D35"/>
            </w:tcBorders>
          </w:tcPr>
          <w:p/>
        </w:tc>
        <w:tc>
          <w:tcPr>
            <w:tcW w:type="dxa" w:w="1657"/>
            <w:vMerge/>
            <w:tcBorders>
              <w:bottom w:sz="8.0" w:val="single" w:color="#282D35"/>
            </w:tcBorders>
          </w:tcPr>
          <w:p/>
        </w:tc>
        <w:tc>
          <w:tcPr>
            <w:tcW w:type="dxa" w:w="1657"/>
            <w:vMerge/>
            <w:tcBorders>
              <w:bottom w:sz="8.0" w:val="single" w:color="#282D35"/>
            </w:tcBorders>
          </w:tcPr>
          <w:p/>
        </w:tc>
      </w:tr>
      <w:tr>
        <w:trPr>
          <w:trHeight w:hRule="exact" w:val="110"/>
        </w:trPr>
        <w:tc>
          <w:tcPr>
            <w:tcW w:type="dxa" w:w="1720"/>
            <w:vMerge w:val="restart"/>
            <w:tcBorders>
              <w:top w:sz="8.0" w:val="single" w:color="#282D3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94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R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i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=</w:t>
            </w:r>
          </w:p>
        </w:tc>
        <w:tc>
          <w:tcPr>
            <w:tcW w:type="dxa" w:w="180"/>
            <w:vMerge w:val="restart"/>
            <w:tcBorders>
              <w:top w:sz="8.0" w:val="single" w:color="#282D3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T</w:t>
            </w:r>
          </w:p>
        </w:tc>
        <w:tc>
          <w:tcPr>
            <w:tcW w:type="dxa" w:w="34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00"/>
            <w:vMerge w:val="restart"/>
            <w:tcBorders>
              <w:top w:sz="8.0" w:val="single" w:color="#282D3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0" w:after="0"/>
              <w:ind w:left="0" w:right="74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it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=</w:t>
            </w:r>
          </w:p>
        </w:tc>
        <w:tc>
          <w:tcPr>
            <w:tcW w:type="dxa" w:w="140"/>
            <w:vMerge w:val="restart"/>
            <w:tcBorders>
              <w:top w:sz="8.0" w:val="single" w:color="#282D3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4</w:t>
            </w:r>
          </w:p>
        </w:tc>
        <w:tc>
          <w:tcPr>
            <w:tcW w:type="dxa" w:w="4540"/>
            <w:vMerge w:val="restart"/>
            <w:tcBorders>
              <w:top w:sz="8.0" w:val="single" w:color="#282D3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1714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=</w:t>
            </w:r>
          </w:p>
        </w:tc>
      </w:tr>
      <w:tr>
        <w:trPr>
          <w:trHeight w:hRule="exact" w:val="254"/>
        </w:trPr>
        <w:tc>
          <w:tcPr>
            <w:tcW w:type="dxa" w:w="1657"/>
            <w:vMerge/>
            <w:tcBorders>
              <w:top w:sz="8.0" w:val="single" w:color="#282D35"/>
            </w:tcBorders>
          </w:tcPr>
          <w:p/>
        </w:tc>
        <w:tc>
          <w:tcPr>
            <w:tcW w:type="dxa" w:w="1657"/>
            <w:vMerge/>
            <w:tcBorders>
              <w:top w:sz="8.0" w:val="single" w:color="#282D35"/>
            </w:tcBorders>
          </w:tcPr>
          <w:p/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1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t=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1</w:t>
            </w:r>
          </w:p>
        </w:tc>
        <w:tc>
          <w:tcPr>
            <w:tcW w:type="dxa" w:w="1657"/>
            <w:vMerge/>
            <w:tcBorders>
              <w:top w:sz="8.0" w:val="single" w:color="#282D35"/>
            </w:tcBorders>
          </w:tcPr>
          <w:p/>
        </w:tc>
        <w:tc>
          <w:tcPr>
            <w:tcW w:type="dxa" w:w="1657"/>
            <w:vMerge/>
            <w:tcBorders>
              <w:top w:sz="8.0" w:val="single" w:color="#282D35"/>
            </w:tcBorders>
          </w:tcPr>
          <w:p/>
        </w:tc>
        <w:tc>
          <w:tcPr>
            <w:tcW w:type="dxa" w:w="1657"/>
            <w:vMerge/>
            <w:tcBorders>
              <w:top w:sz="8.0" w:val="single" w:color="#282D35"/>
            </w:tcBorders>
          </w:tcPr>
          <w:p/>
        </w:tc>
      </w:tr>
    </w:tbl>
    <w:p>
      <w:pPr>
        <w:autoSpaceDN w:val="0"/>
        <w:autoSpaceDE w:val="0"/>
        <w:widowControl/>
        <w:spacing w:line="240" w:lineRule="auto" w:before="484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282D35"/>
          <w:sz w:val="28"/>
        </w:rPr>
        <w:t>Geometric Return</w:t>
      </w:r>
    </w:p>
    <w:p>
      <w:pPr>
        <w:autoSpaceDN w:val="0"/>
        <w:autoSpaceDE w:val="0"/>
        <w:widowControl/>
        <w:spacing w:line="365" w:lineRule="auto" w:before="628" w:after="0"/>
        <w:ind w:left="0" w:right="26" w:firstLine="0"/>
        <w:jc w:val="both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Computing a geometric mean follows a principle similar to the one used to compute compound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interest. It involves compounding returns from the previous year to the initial investment's value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at the start of the new period, allowing you to earn returns on your returns.</w:t>
      </w:r>
    </w:p>
    <w:p>
      <w:pPr>
        <w:autoSpaceDN w:val="0"/>
        <w:autoSpaceDE w:val="0"/>
        <w:widowControl/>
        <w:spacing w:line="334" w:lineRule="auto" w:before="38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A geometric return provides a more accurate representation of the portfolio value growth than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an arithmetic return.</w:t>
      </w:r>
    </w:p>
    <w:p>
      <w:pPr>
        <w:autoSpaceDN w:val="0"/>
        <w:autoSpaceDE w:val="0"/>
        <w:widowControl/>
        <w:spacing w:line="307" w:lineRule="auto" w:before="34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Denoted by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¯R</w:t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Gi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 the geometric return for asset  is given by:</w:t>
      </w:r>
    </w:p>
    <w:p>
      <w:pPr>
        <w:autoSpaceDN w:val="0"/>
        <w:autoSpaceDE w:val="0"/>
        <w:widowControl/>
        <w:spacing w:line="307" w:lineRule="auto" w:before="460" w:after="154"/>
        <w:ind w:left="0" w:right="0" w:firstLine="0"/>
        <w:jc w:val="center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¯R</w:t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Gi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 =</w:t>
      </w:r>
      <w:r>
        <w:rPr>
          <w:rFonts w:ascii="DejaVu Serif" w:hAnsi="DejaVu Serif" w:eastAsia="DejaVu Serif"/>
          <w:b w:val="0"/>
          <w:i w:val="0"/>
          <w:color w:val="282D35"/>
          <w:sz w:val="12"/>
        </w:rPr>
        <w:t>T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√(1 + R</w:t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i,1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) × (1 + R</w:t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i2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) × … × (1 + R</w:t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i,T−1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) × (1 + R</w:t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iT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) −1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60.0" w:type="dxa"/>
      </w:tblPr>
      <w:tblGrid>
        <w:gridCol w:w="3313"/>
        <w:gridCol w:w="3313"/>
        <w:gridCol w:w="3313"/>
      </w:tblGrid>
      <w:tr>
        <w:trPr>
          <w:trHeight w:hRule="exact" w:val="212"/>
        </w:trPr>
        <w:tc>
          <w:tcPr>
            <w:tcW w:type="dxa" w:w="15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1" w:lineRule="auto" w:before="226" w:after="0"/>
              <w:ind w:left="0" w:right="14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=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2"/>
              </w:rPr>
              <w:t>T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⎷</w:t>
            </w:r>
          </w:p>
        </w:tc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2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T</w:t>
            </w:r>
          </w:p>
        </w:tc>
        <w:tc>
          <w:tcPr>
            <w:tcW w:type="dxa" w:w="4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auto" w:before="206" w:after="0"/>
              <w:ind w:left="4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(1 + R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t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) −1</w:t>
            </w:r>
          </w:p>
        </w:tc>
      </w:tr>
      <w:tr>
        <w:trPr>
          <w:trHeight w:hRule="exact" w:val="240"/>
        </w:trPr>
        <w:tc>
          <w:tcPr>
            <w:tcW w:type="dxa" w:w="3313"/>
            <w:vMerge/>
            <w:tcBorders/>
          </w:tcPr>
          <w:p/>
        </w:tc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" w:after="0"/>
              <w:ind w:left="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∏</w:t>
            </w:r>
          </w:p>
        </w:tc>
        <w:tc>
          <w:tcPr>
            <w:tcW w:type="dxa" w:w="3313"/>
            <w:vMerge/>
            <w:tcBorders/>
          </w:tcPr>
          <w:p/>
        </w:tc>
      </w:tr>
      <w:tr>
        <w:trPr>
          <w:trHeight w:hRule="exact" w:val="254"/>
        </w:trPr>
        <w:tc>
          <w:tcPr>
            <w:tcW w:type="dxa" w:w="3313"/>
            <w:vMerge/>
            <w:tcBorders/>
          </w:tcPr>
          <w:p/>
        </w:tc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1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t=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1</w:t>
            </w:r>
          </w:p>
        </w:tc>
        <w:tc>
          <w:tcPr>
            <w:tcW w:type="dxa" w:w="3313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334" w:lineRule="auto" w:before="460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Using the same annual returns of 15%, 10%, 12%, and 3% as shown above, we compute the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geometric mean as follows:</w:t>
      </w:r>
    </w:p>
    <w:p>
      <w:pPr>
        <w:autoSpaceDN w:val="0"/>
        <w:tabs>
          <w:tab w:pos="2880" w:val="left"/>
          <w:tab w:pos="8200" w:val="left"/>
        </w:tabs>
        <w:autoSpaceDE w:val="0"/>
        <w:widowControl/>
        <w:spacing w:line="245" w:lineRule="auto" w:before="440" w:after="0"/>
        <w:ind w:left="1140" w:right="1152" w:firstLine="0"/>
        <w:jc w:val="left"/>
      </w:pPr>
      <w:r>
        <w:tab/>
      </w:r>
      <w:r>
        <w:tab/>
      </w:r>
      <w:r>
        <w:rPr>
          <w:rFonts w:ascii="DejaVu Serif" w:hAnsi="DejaVu Serif" w:eastAsia="DejaVu Serif"/>
          <w:b w:val="0"/>
          <w:i w:val="0"/>
          <w:color w:val="282D35"/>
          <w:sz w:val="12"/>
          <w:u w:val="single"/>
        </w:rPr>
        <w:t xml:space="preserve">1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Geometric mean =  [(1 + 15%) ×  (1 + 10%) ×  (1 + 12%) ×  (1 + 3%)]</w:t>
      </w:r>
      <w:r>
        <w:rPr>
          <w:rFonts w:ascii="DejaVu Serif" w:hAnsi="DejaVu Serif" w:eastAsia="DejaVu Serif"/>
          <w:b w:val="0"/>
          <w:i w:val="0"/>
          <w:color w:val="282D35"/>
          <w:sz w:val="20"/>
          <w:u w:val="single"/>
        </w:rPr>
        <w:t xml:space="preserve">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 −1 </w:t>
      </w:r>
      <w:r>
        <w:tab/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=  9.9%</w:t>
      </w:r>
    </w:p>
    <w:p>
      <w:pPr>
        <w:autoSpaceDN w:val="0"/>
        <w:autoSpaceDE w:val="0"/>
        <w:widowControl/>
        <w:spacing w:line="334" w:lineRule="auto" w:before="48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Note that the geometric return is slightly less than the arithmetic return. Arithmetic returns tend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to be biased upwards unless the holding period returns are all equal.</w:t>
      </w:r>
    </w:p>
    <w:p>
      <w:pPr>
        <w:autoSpaceDN w:val="0"/>
        <w:tabs>
          <w:tab w:pos="8020" w:val="left"/>
        </w:tabs>
        <w:autoSpaceDE w:val="0"/>
        <w:widowControl/>
        <w:spacing w:line="295" w:lineRule="auto" w:before="724" w:after="0"/>
        <w:ind w:left="4902" w:right="0" w:firstLine="0"/>
        <w:jc w:val="left"/>
      </w:pPr>
      <w:r>
        <w:rPr>
          <w:rFonts w:ascii="DejaVu Serif" w:hAnsi="DejaVu Serif" w:eastAsia="DejaVu Serif"/>
          <w:b w:val="0"/>
          <w:i w:val="0"/>
          <w:color w:val="000000"/>
          <w:sz w:val="18"/>
        </w:rPr>
        <w:t>9</w:t>
      </w:r>
      <w:r>
        <w:br/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© 2014-2024 AnalystPrep.</w:t>
      </w:r>
    </w:p>
    <w:p>
      <w:pPr>
        <w:sectPr>
          <w:pgSz w:w="12240" w:h="15840"/>
          <w:pgMar w:top="628" w:right="1140" w:bottom="320" w:left="11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6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282D35"/>
          <w:sz w:val="28"/>
        </w:rPr>
        <w:t>Harmonic Mean</w:t>
      </w:r>
    </w:p>
    <w:p>
      <w:pPr>
        <w:autoSpaceDN w:val="0"/>
        <w:autoSpaceDE w:val="0"/>
        <w:widowControl/>
        <w:spacing w:line="365" w:lineRule="auto" w:before="628" w:after="306"/>
        <w:ind w:left="0" w:right="30" w:firstLine="0"/>
        <w:jc w:val="both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The harmonic mean is a measure of central tendency. It's especially useful for rates or ratios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such as P/E ratios. Its formula is derived from the harmonic series, which is a specific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mathematical sequence.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657"/>
        <w:gridCol w:w="1657"/>
        <w:gridCol w:w="1657"/>
        <w:gridCol w:w="1657"/>
        <w:gridCol w:w="1657"/>
        <w:gridCol w:w="1657"/>
      </w:tblGrid>
      <w:tr>
        <w:trPr>
          <w:trHeight w:hRule="exact" w:val="336"/>
        </w:trPr>
        <w:tc>
          <w:tcPr>
            <w:tcW w:type="dxa" w:w="350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52" w:after="0"/>
              <w:ind w:left="0" w:right="440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¯X</w:t>
            </w:r>
          </w:p>
        </w:tc>
        <w:tc>
          <w:tcPr>
            <w:tcW w:type="dxa" w:w="50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52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n</w:t>
            </w:r>
          </w:p>
        </w:tc>
        <w:tc>
          <w:tcPr>
            <w:tcW w:type="dxa" w:w="20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22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2" w:after="0"/>
              <w:ind w:left="8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,  X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&gt; 0 for all i  1, 2, … , n</w:t>
            </w:r>
          </w:p>
        </w:tc>
        <w:tc>
          <w:tcPr>
            <w:tcW w:type="dxa" w:w="138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00"/>
        </w:trPr>
        <w:tc>
          <w:tcPr>
            <w:tcW w:type="dxa" w:w="3500"/>
            <w:tcBorders>
              <w:top w:sz="8.0" w:val="single" w:color="#282D35"/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74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H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=</w:t>
            </w:r>
          </w:p>
        </w:tc>
        <w:tc>
          <w:tcPr>
            <w:tcW w:type="dxa" w:w="500"/>
            <w:tcBorders>
              <w:top w:sz="8.0" w:val="single" w:color="#282D35"/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0" w:after="0"/>
              <w:ind w:left="4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∑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n</w:t>
            </w:r>
          </w:p>
        </w:tc>
        <w:tc>
          <w:tcPr>
            <w:tcW w:type="dxa" w:w="200"/>
            <w:tcBorders>
              <w:top w:sz="8.0" w:val="single" w:color="#282D35"/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1</w:t>
            </w:r>
          </w:p>
        </w:tc>
        <w:tc>
          <w:tcPr>
            <w:tcW w:type="dxa" w:w="3220"/>
            <w:tcBorders>
              <w:top w:sz="8.0" w:val="single" w:color="#282D35"/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38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i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=</w:t>
            </w:r>
          </w:p>
        </w:tc>
        <w:tc>
          <w:tcPr>
            <w:tcW w:type="dxa" w:w="1380"/>
            <w:tcBorders>
              <w:top w:sz="8.0" w:val="single" w:color="#282D35"/>
              <w:bottom w:sz="8.0" w:val="single" w:color="#282D3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0"/>
            <w:tcBorders>
              <w:top w:sz="8.0" w:val="single" w:color="#282D35"/>
              <w:bottom w:sz="8.0" w:val="single" w:color="#282D35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50"/>
        </w:trPr>
        <w:tc>
          <w:tcPr>
            <w:tcW w:type="dxa" w:w="350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0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0" w:after="0"/>
              <w:ind w:left="0" w:right="72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i=1</w:t>
            </w:r>
          </w:p>
        </w:tc>
        <w:tc>
          <w:tcPr>
            <w:tcW w:type="dxa" w:w="20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9" w:lineRule="auto" w:before="1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X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2"/>
              </w:rPr>
              <w:t>i</w:t>
            </w:r>
          </w:p>
        </w:tc>
        <w:tc>
          <w:tcPr>
            <w:tcW w:type="dxa" w:w="322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80"/>
            <w:vMerge w:val="restart"/>
            <w:tcBorders>
              <w:top w:sz="8.0" w:val="single" w:color="#282D3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654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X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1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,  X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2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, …,  X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n</w:t>
            </w:r>
          </w:p>
        </w:tc>
        <w:tc>
          <w:tcPr>
            <w:tcW w:type="dxa" w:w="640"/>
            <w:vMerge w:val="restart"/>
            <w:tcBorders>
              <w:top w:sz="8.0" w:val="single" w:color="#282D3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54" w:after="0"/>
              <w:ind w:left="1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.”</w:t>
            </w:r>
          </w:p>
        </w:tc>
      </w:tr>
      <w:tr>
        <w:trPr>
          <w:trHeight w:hRule="exact" w:val="534"/>
        </w:trPr>
        <w:tc>
          <w:tcPr>
            <w:tcW w:type="dxa" w:w="742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14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The above formula is interpreted as the “harmonic mean of observations </w:t>
            </w:r>
          </w:p>
        </w:tc>
        <w:tc>
          <w:tcPr>
            <w:tcW w:type="dxa" w:w="1657"/>
            <w:vMerge/>
            <w:tcBorders>
              <w:top w:sz="8.0" w:val="single" w:color="#282D35"/>
            </w:tcBorders>
          </w:tcPr>
          <w:p/>
        </w:tc>
        <w:tc>
          <w:tcPr>
            <w:tcW w:type="dxa" w:w="1657"/>
            <w:vMerge/>
            <w:tcBorders>
              <w:top w:sz="8.0" w:val="single" w:color="#282D35"/>
            </w:tcBorders>
          </w:tcPr>
          <w:p/>
        </w:tc>
      </w:tr>
    </w:tbl>
    <w:p>
      <w:pPr>
        <w:autoSpaceDN w:val="0"/>
        <w:autoSpaceDE w:val="0"/>
        <w:widowControl/>
        <w:spacing w:line="365" w:lineRule="auto" w:before="300" w:after="0"/>
        <w:ind w:left="0" w:right="30" w:firstLine="0"/>
        <w:jc w:val="both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The harmonic mean is handy for averaging ratios when those ratios are consistently applied to a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fixed quantity, resulting in varying unit numbers. For instance, it's applied in cost-averaging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strategies where you invest a fixed amount of money at regular intervals.</w:t>
      </w:r>
    </w:p>
    <w:p>
      <w:pPr>
        <w:autoSpaceDN w:val="0"/>
        <w:autoSpaceDE w:val="0"/>
        <w:widowControl/>
        <w:spacing w:line="240" w:lineRule="auto" w:before="526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282D35"/>
          <w:sz w:val="24"/>
        </w:rPr>
        <w:t>Example: Calculating the Harmonic Mean</w:t>
      </w:r>
    </w:p>
    <w:p>
      <w:pPr>
        <w:autoSpaceDN w:val="0"/>
        <w:autoSpaceDE w:val="0"/>
        <w:widowControl/>
        <w:spacing w:line="365" w:lineRule="auto" w:before="498" w:after="0"/>
        <w:ind w:left="0" w:right="22" w:firstLine="0"/>
        <w:jc w:val="both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An investor is practicing cost averaging by investing in a particular stock over a period of three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months. The investor decides to allocate different amounts of money each month. In the first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month, the investor invests $2,000; in the second month, $3,000; and in the third month, $4,000.</w:t>
      </w:r>
    </w:p>
    <w:p>
      <w:pPr>
        <w:autoSpaceDN w:val="0"/>
        <w:autoSpaceDE w:val="0"/>
        <w:widowControl/>
        <w:spacing w:line="240" w:lineRule="auto" w:before="18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The share prices of the stock for these three months are $10, $12, and $15, respectively.</w:t>
      </w:r>
    </w:p>
    <w:p>
      <w:pPr>
        <w:autoSpaceDN w:val="0"/>
        <w:autoSpaceDE w:val="0"/>
        <w:widowControl/>
        <w:spacing w:line="240" w:lineRule="auto" w:before="38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Calculate the average price paid per share for the three-month period.</w:t>
      </w:r>
    </w:p>
    <w:p>
      <w:pPr>
        <w:autoSpaceDN w:val="0"/>
        <w:autoSpaceDE w:val="0"/>
        <w:widowControl/>
        <w:spacing w:line="240" w:lineRule="auto" w:before="384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444444"/>
          <w:sz w:val="20"/>
        </w:rPr>
        <w:t>Solution</w:t>
      </w:r>
    </w:p>
    <w:p>
      <w:pPr>
        <w:autoSpaceDN w:val="0"/>
        <w:autoSpaceDE w:val="0"/>
        <w:widowControl/>
        <w:spacing w:line="240" w:lineRule="auto" w:before="386" w:after="366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Using the harmonic mean formula,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20.0" w:type="dxa"/>
      </w:tblPr>
      <w:tblGrid>
        <w:gridCol w:w="994"/>
        <w:gridCol w:w="994"/>
        <w:gridCol w:w="994"/>
        <w:gridCol w:w="994"/>
        <w:gridCol w:w="994"/>
        <w:gridCol w:w="994"/>
        <w:gridCol w:w="994"/>
        <w:gridCol w:w="994"/>
        <w:gridCol w:w="994"/>
        <w:gridCol w:w="994"/>
      </w:tblGrid>
      <w:tr>
        <w:trPr>
          <w:trHeight w:hRule="exact" w:val="336"/>
        </w:trPr>
        <w:tc>
          <w:tcPr>
            <w:tcW w:type="dxa" w:w="222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52" w:after="0"/>
              <w:ind w:left="0" w:right="440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¯X</w:t>
            </w:r>
          </w:p>
        </w:tc>
        <w:tc>
          <w:tcPr>
            <w:tcW w:type="dxa" w:w="50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52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n</w:t>
            </w:r>
          </w:p>
        </w:tc>
        <w:tc>
          <w:tcPr>
            <w:tcW w:type="dxa" w:w="20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3</w:t>
            </w:r>
          </w:p>
        </w:tc>
        <w:tc>
          <w:tcPr>
            <w:tcW w:type="dxa" w:w="28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2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2" w:after="0"/>
              <w:ind w:left="286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12</w:t>
            </w:r>
          </w:p>
        </w:tc>
      </w:tr>
      <w:tr>
        <w:trPr>
          <w:trHeight w:hRule="exact" w:val="200"/>
        </w:trPr>
        <w:tc>
          <w:tcPr>
            <w:tcW w:type="dxa" w:w="2220"/>
            <w:tcBorders>
              <w:top w:sz="8.0" w:val="single" w:color="#282D35"/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74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H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=</w:t>
            </w:r>
          </w:p>
        </w:tc>
        <w:tc>
          <w:tcPr>
            <w:tcW w:type="dxa" w:w="500"/>
            <w:tcBorders>
              <w:top w:sz="8.0" w:val="single" w:color="#282D35"/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0" w:after="0"/>
              <w:ind w:left="4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∑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n</w:t>
            </w:r>
          </w:p>
        </w:tc>
        <w:tc>
          <w:tcPr>
            <w:tcW w:type="dxa" w:w="200"/>
            <w:tcBorders>
              <w:top w:sz="8.0" w:val="single" w:color="#282D35"/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1</w:t>
            </w:r>
          </w:p>
        </w:tc>
        <w:tc>
          <w:tcPr>
            <w:tcW w:type="dxa" w:w="420"/>
            <w:tcBorders>
              <w:top w:sz="8.0" w:val="single" w:color="#282D35"/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=</w:t>
            </w:r>
          </w:p>
        </w:tc>
        <w:tc>
          <w:tcPr>
            <w:tcW w:type="dxa" w:w="180"/>
            <w:tcBorders>
              <w:top w:sz="8.0" w:val="single" w:color="#282D35"/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1</w:t>
            </w:r>
          </w:p>
        </w:tc>
        <w:tc>
          <w:tcPr>
            <w:tcW w:type="dxa" w:w="260"/>
            <w:tcBorders>
              <w:top w:sz="8.0" w:val="single" w:color="#282D35"/>
              <w:bottom w:sz="8.0" w:val="single" w:color="#282D3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0"/>
            <w:tcBorders>
              <w:top w:sz="8.0" w:val="single" w:color="#282D35"/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1</w:t>
            </w:r>
          </w:p>
        </w:tc>
        <w:tc>
          <w:tcPr>
            <w:tcW w:type="dxa" w:w="280"/>
            <w:tcBorders>
              <w:top w:sz="8.0" w:val="single" w:color="#282D35"/>
              <w:bottom w:sz="8.0" w:val="single" w:color="#282D3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0"/>
            <w:tcBorders>
              <w:top w:sz="8.0" w:val="single" w:color="#282D35"/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1</w:t>
            </w:r>
          </w:p>
        </w:tc>
        <w:tc>
          <w:tcPr>
            <w:tcW w:type="dxa" w:w="2220"/>
            <w:tcBorders>
              <w:top w:sz="8.0" w:val="single" w:color="#282D35"/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2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=</w:t>
            </w:r>
          </w:p>
        </w:tc>
      </w:tr>
      <w:tr>
        <w:trPr>
          <w:trHeight w:hRule="exact" w:val="298"/>
        </w:trPr>
        <w:tc>
          <w:tcPr>
            <w:tcW w:type="dxa" w:w="222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0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0" w:after="0"/>
              <w:ind w:left="0" w:right="52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i=1</w:t>
            </w:r>
          </w:p>
        </w:tc>
        <w:tc>
          <w:tcPr>
            <w:tcW w:type="dxa" w:w="20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auto" w:before="3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X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2"/>
              </w:rPr>
              <w:t>i</w:t>
            </w:r>
          </w:p>
        </w:tc>
        <w:tc>
          <w:tcPr>
            <w:tcW w:type="dxa" w:w="42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10</w:t>
            </w:r>
          </w:p>
        </w:tc>
        <w:tc>
          <w:tcPr>
            <w:tcW w:type="dxa" w:w="26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+</w:t>
            </w:r>
          </w:p>
        </w:tc>
        <w:tc>
          <w:tcPr>
            <w:tcW w:type="dxa" w:w="24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12</w:t>
            </w:r>
          </w:p>
        </w:tc>
        <w:tc>
          <w:tcPr>
            <w:tcW w:type="dxa" w:w="28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+</w:t>
            </w:r>
          </w:p>
        </w:tc>
        <w:tc>
          <w:tcPr>
            <w:tcW w:type="dxa" w:w="16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15</w:t>
            </w:r>
          </w:p>
        </w:tc>
        <w:tc>
          <w:tcPr>
            <w:tcW w:type="dxa" w:w="222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470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282D35"/>
          <w:sz w:val="28"/>
        </w:rPr>
        <w:t>Trimmed and Winsorized Means</w:t>
      </w:r>
    </w:p>
    <w:p>
      <w:pPr>
        <w:autoSpaceDN w:val="0"/>
        <w:autoSpaceDE w:val="0"/>
        <w:widowControl/>
        <w:spacing w:line="240" w:lineRule="auto" w:before="608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Trimmed and Winsorized means seek to lower the effect of outliers in a data set.</w:t>
      </w:r>
    </w:p>
    <w:p>
      <w:pPr>
        <w:autoSpaceDN w:val="0"/>
        <w:tabs>
          <w:tab w:pos="8020" w:val="left"/>
        </w:tabs>
        <w:autoSpaceDE w:val="0"/>
        <w:widowControl/>
        <w:spacing w:line="295" w:lineRule="auto" w:before="784" w:after="0"/>
        <w:ind w:left="4846" w:right="0" w:firstLine="0"/>
        <w:jc w:val="left"/>
      </w:pPr>
      <w:r>
        <w:rPr>
          <w:rFonts w:ascii="DejaVu Serif" w:hAnsi="DejaVu Serif" w:eastAsia="DejaVu Serif"/>
          <w:b w:val="0"/>
          <w:i w:val="0"/>
          <w:color w:val="000000"/>
          <w:sz w:val="18"/>
        </w:rPr>
        <w:t>10</w:t>
      </w:r>
      <w:r>
        <w:br/>
      </w:r>
      <w:r>
        <w:tab/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© 2014-2024 AnalystPrep.</w:t>
      </w:r>
    </w:p>
    <w:p>
      <w:pPr>
        <w:sectPr>
          <w:pgSz w:w="12240" w:h="15840"/>
          <w:pgMar w:top="590" w:right="1140" w:bottom="320" w:left="11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66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282D35"/>
          <w:sz w:val="24"/>
        </w:rPr>
        <w:t>Trimmed Mean</w:t>
      </w:r>
    </w:p>
    <w:p>
      <w:pPr>
        <w:autoSpaceDN w:val="0"/>
        <w:autoSpaceDE w:val="0"/>
        <w:widowControl/>
        <w:spacing w:line="240" w:lineRule="auto" w:before="478" w:after="0"/>
        <w:ind w:left="0" w:right="0" w:firstLine="0"/>
        <w:jc w:val="center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The trimmed mean is a measure of central tendency in which we calculate the mean after</w:t>
      </w:r>
    </w:p>
    <w:p>
      <w:pPr>
        <w:autoSpaceDN w:val="0"/>
        <w:autoSpaceDE w:val="0"/>
        <w:widowControl/>
        <w:spacing w:line="240" w:lineRule="auto" w:before="18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excluding a small percentage of the lowest and highest values from the dataset.</w:t>
      </w:r>
    </w:p>
    <w:p>
      <w:pPr>
        <w:autoSpaceDN w:val="0"/>
        <w:autoSpaceDE w:val="0"/>
        <w:widowControl/>
        <w:spacing w:line="240" w:lineRule="auto" w:before="386" w:after="0"/>
        <w:ind w:left="0" w:right="0" w:firstLine="0"/>
        <w:jc w:val="center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For example, a data set consists of 10 observations: 12, 15, 18, 20, 22, 25, 27, 30, 35, and 40. We</w:t>
      </w:r>
    </w:p>
    <w:p>
      <w:pPr>
        <w:autoSpaceDN w:val="0"/>
        <w:autoSpaceDE w:val="0"/>
        <w:widowControl/>
        <w:spacing w:line="240" w:lineRule="auto" w:before="18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can calculate the trimmed mean after removing the highest and lowest values.</w:t>
      </w:r>
    </w:p>
    <w:p>
      <w:pPr>
        <w:autoSpaceDN w:val="0"/>
        <w:autoSpaceDE w:val="0"/>
        <w:widowControl/>
        <w:spacing w:line="240" w:lineRule="auto" w:before="38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After removing these values, the remaining data set is: 15, 18, 20, 22, 25, 27, 30, and 35.</w:t>
      </w:r>
    </w:p>
    <w:p>
      <w:pPr>
        <w:autoSpaceDN w:val="0"/>
        <w:autoSpaceDE w:val="0"/>
        <w:widowControl/>
        <w:spacing w:line="240" w:lineRule="auto" w:before="386" w:after="366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Now, let’s calculate the trimmed mean by taking the average of these remaining values: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80.0" w:type="dxa"/>
      </w:tblPr>
      <w:tblGrid>
        <w:gridCol w:w="4970"/>
        <w:gridCol w:w="4970"/>
      </w:tblGrid>
      <w:tr>
        <w:trPr>
          <w:trHeight w:hRule="exact" w:val="654"/>
        </w:trPr>
        <w:tc>
          <w:tcPr>
            <w:tcW w:type="dxa" w:w="5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60" w:after="0"/>
              <w:ind w:left="128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15 + 18 + 20 + 22 + 25 + 27+ 30 + 35 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192</w:t>
            </w:r>
          </w:p>
          <w:p>
            <w:pPr>
              <w:autoSpaceDN w:val="0"/>
              <w:autoSpaceDE w:val="0"/>
              <w:widowControl/>
              <w:spacing w:line="259" w:lineRule="auto" w:before="0" w:after="0"/>
              <w:ind w:left="0" w:right="474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=</w:t>
            </w:r>
          </w:p>
          <w:p>
            <w:pPr>
              <w:autoSpaceDN w:val="0"/>
              <w:tabs>
                <w:tab w:pos="5120" w:val="left"/>
              </w:tabs>
              <w:autoSpaceDE w:val="0"/>
              <w:widowControl/>
              <w:spacing w:line="240" w:lineRule="auto" w:before="0" w:after="0"/>
              <w:ind w:left="288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8 </w:t>
            </w:r>
            <w:r>
              <w:tab/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8</w:t>
            </w:r>
          </w:p>
        </w:tc>
        <w:tc>
          <w:tcPr>
            <w:tcW w:type="dxa" w:w="1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200" w:after="0"/>
              <w:ind w:left="2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=  24</w:t>
            </w:r>
          </w:p>
        </w:tc>
      </w:tr>
    </w:tbl>
    <w:p>
      <w:pPr>
        <w:autoSpaceDN w:val="0"/>
        <w:autoSpaceDE w:val="0"/>
        <w:widowControl/>
        <w:spacing w:line="250" w:lineRule="auto" w:before="258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36"/>
        </w:rPr>
        <w:t xml:space="preserve">Therefore, the trimmed mean of the given data set is </w:t>
      </w:r>
      <w:r>
        <w:rPr>
          <w:rFonts w:ascii="DejaVu Serif" w:hAnsi="DejaVu Serif" w:eastAsia="DejaVu Serif"/>
          <w:b w:val="0"/>
          <w:i w:val="0"/>
          <w:color w:val="282D35"/>
          <w:sz w:val="36"/>
        </w:rPr>
        <w:t>24.</w:t>
      </w:r>
    </w:p>
    <w:p>
      <w:pPr>
        <w:autoSpaceDN w:val="0"/>
        <w:autoSpaceDE w:val="0"/>
        <w:widowControl/>
        <w:spacing w:line="240" w:lineRule="auto" w:before="378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282D35"/>
          <w:sz w:val="36"/>
        </w:rPr>
        <w:t>Winsorized Mean</w:t>
      </w:r>
    </w:p>
    <w:p>
      <w:pPr>
        <w:autoSpaceDN w:val="0"/>
        <w:autoSpaceDE w:val="0"/>
        <w:widowControl/>
        <w:spacing w:line="240" w:lineRule="auto" w:before="450" w:after="0"/>
        <w:ind w:left="0" w:right="0" w:firstLine="0"/>
        <w:jc w:val="center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The Winsorized mean is a central tendency measure. It works by replacing extreme values at</w:t>
      </w:r>
    </w:p>
    <w:p>
      <w:pPr>
        <w:autoSpaceDN w:val="0"/>
        <w:autoSpaceDE w:val="0"/>
        <w:widowControl/>
        <w:spacing w:line="240" w:lineRule="auto" w:before="186" w:after="0"/>
        <w:ind w:left="0" w:right="0" w:firstLine="0"/>
        <w:jc w:val="center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both ends of the data with the values of their closest observations. This process is similar to the</w:t>
      </w:r>
    </w:p>
    <w:p>
      <w:pPr>
        <w:autoSpaceDN w:val="0"/>
        <w:autoSpaceDE w:val="0"/>
        <w:widowControl/>
        <w:spacing w:line="240" w:lineRule="auto" w:before="18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trimmed mean. Essentially, it helps eliminate outliers in a dataset.</w:t>
      </w:r>
    </w:p>
    <w:p>
      <w:pPr>
        <w:autoSpaceDN w:val="0"/>
        <w:autoSpaceDE w:val="0"/>
        <w:widowControl/>
        <w:spacing w:line="257" w:lineRule="auto" w:before="278" w:after="0"/>
        <w:ind w:left="0" w:right="22" w:firstLine="0"/>
        <w:jc w:val="both"/>
      </w:pPr>
      <w:r>
        <w:rPr>
          <w:rFonts w:ascii="DejaVu Serif" w:hAnsi="DejaVu Serif" w:eastAsia="DejaVu Serif"/>
          <w:b w:val="0"/>
          <w:i w:val="0"/>
          <w:color w:val="282D35"/>
          <w:sz w:val="36"/>
        </w:rPr>
        <w:t xml:space="preserve">For example, consider a dataset of 12 observations: 8, </w:t>
      </w:r>
      <w:r>
        <w:rPr>
          <w:rFonts w:ascii="DejaVu Serif" w:hAnsi="DejaVu Serif" w:eastAsia="DejaVu Serif"/>
          <w:b w:val="0"/>
          <w:i w:val="0"/>
          <w:color w:val="282D35"/>
          <w:sz w:val="36"/>
        </w:rPr>
        <w:t xml:space="preserve">12, 15, 18, 20, 22, 25, 27, 30, 35, 40, and 50. We can </w:t>
      </w:r>
      <w:r>
        <w:rPr>
          <w:rFonts w:ascii="DejaVu Serif" w:hAnsi="DejaVu Serif" w:eastAsia="DejaVu Serif"/>
          <w:b w:val="0"/>
          <w:i w:val="0"/>
          <w:color w:val="282D35"/>
          <w:sz w:val="36"/>
        </w:rPr>
        <w:t xml:space="preserve">calculate the Winsorized mean by replacing the </w:t>
      </w:r>
      <w:r>
        <w:rPr>
          <w:rFonts w:ascii="DejaVu Serif" w:hAnsi="DejaVu Serif" w:eastAsia="DejaVu Serif"/>
          <w:b w:val="0"/>
          <w:i w:val="0"/>
          <w:color w:val="282D35"/>
          <w:sz w:val="36"/>
        </w:rPr>
        <w:t xml:space="preserve">lowest and highest values with those closest to the </w:t>
      </w:r>
      <w:r>
        <w:rPr>
          <w:rFonts w:ascii="DejaVu Serif" w:hAnsi="DejaVu Serif" w:eastAsia="DejaVu Serif"/>
          <w:b w:val="0"/>
          <w:i w:val="0"/>
          <w:color w:val="282D35"/>
          <w:sz w:val="36"/>
        </w:rPr>
        <w:t xml:space="preserve">10th and 90th percentiles, respectively. As such, the </w:t>
      </w:r>
      <w:r>
        <w:rPr>
          <w:rFonts w:ascii="DejaVu Serif" w:hAnsi="DejaVu Serif" w:eastAsia="DejaVu Serif"/>
          <w:b w:val="0"/>
          <w:i w:val="0"/>
          <w:color w:val="282D35"/>
          <w:sz w:val="36"/>
        </w:rPr>
        <w:t xml:space="preserve">new values are </w:t>
      </w:r>
      <w:r>
        <w:rPr>
          <w:rFonts w:ascii="DejaVu Serif" w:hAnsi="DejaVu Serif" w:eastAsia="DejaVu Serif"/>
          <w:b/>
          <w:i w:val="0"/>
          <w:color w:val="282D35"/>
          <w:sz w:val="36"/>
        </w:rPr>
        <w:t>10</w:t>
      </w:r>
      <w:r>
        <w:rPr>
          <w:rFonts w:ascii="DejaVu Serif" w:hAnsi="DejaVu Serif" w:eastAsia="DejaVu Serif"/>
          <w:b w:val="0"/>
          <w:i w:val="0"/>
          <w:color w:val="282D35"/>
          <w:sz w:val="36"/>
        </w:rPr>
        <w:t xml:space="preserve">, 12, 15, 18, 20, 22, 25, 27, 30, 35, </w:t>
      </w:r>
      <w:r>
        <w:rPr>
          <w:rFonts w:ascii="DejaVu Serif" w:hAnsi="DejaVu Serif" w:eastAsia="DejaVu Serif"/>
          <w:b/>
          <w:i w:val="0"/>
          <w:color w:val="282D35"/>
          <w:sz w:val="36"/>
        </w:rPr>
        <w:t>37.5</w:t>
      </w:r>
      <w:r>
        <w:rPr>
          <w:rFonts w:ascii="DejaVu Serif" w:hAnsi="DejaVu Serif" w:eastAsia="DejaVu Serif"/>
          <w:b w:val="0"/>
          <w:i w:val="0"/>
          <w:color w:val="282D35"/>
          <w:sz w:val="36"/>
        </w:rPr>
        <w:t>, and 40, and the winsorized mean is:</w:t>
      </w:r>
    </w:p>
    <w:p>
      <w:pPr>
        <w:autoSpaceDN w:val="0"/>
        <w:tabs>
          <w:tab w:pos="4400" w:val="left"/>
          <w:tab w:pos="7260" w:val="left"/>
        </w:tabs>
        <w:autoSpaceDE w:val="0"/>
        <w:widowControl/>
        <w:spacing w:line="245" w:lineRule="auto" w:before="410" w:after="0"/>
        <w:ind w:left="1900" w:right="1872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10 + 12 + 15 + 18 + 20 + 22 + 25 + 27 + 30 + 35 + 37.5 + 40</w:t>
      </w:r>
      <w:r>
        <w:tab/>
      </w:r>
      <w:r>
        <w:tab/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≈24.46 </w:t>
      </w:r>
      <w:r>
        <w:tab/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12</w:t>
      </w:r>
    </w:p>
    <w:p>
      <w:pPr>
        <w:autoSpaceDN w:val="0"/>
        <w:autoSpaceDE w:val="0"/>
        <w:widowControl/>
        <w:spacing w:line="238" w:lineRule="auto" w:before="964" w:after="0"/>
        <w:ind w:left="0" w:right="0" w:firstLine="0"/>
        <w:jc w:val="center"/>
      </w:pPr>
      <w:r>
        <w:rPr>
          <w:rFonts w:ascii="DejaVu Serif" w:hAnsi="DejaVu Serif" w:eastAsia="DejaVu Serif"/>
          <w:b w:val="0"/>
          <w:i w:val="0"/>
          <w:color w:val="000000"/>
          <w:sz w:val="18"/>
        </w:rPr>
        <w:t>11</w:t>
      </w:r>
    </w:p>
    <w:p>
      <w:pPr>
        <w:autoSpaceDN w:val="0"/>
        <w:autoSpaceDE w:val="0"/>
        <w:widowControl/>
        <w:spacing w:line="240" w:lineRule="auto" w:before="88" w:after="0"/>
        <w:ind w:left="0" w:right="28" w:firstLine="0"/>
        <w:jc w:val="right"/>
      </w:pPr>
      <w:r>
        <w:rPr>
          <w:rFonts w:ascii="DejaVu Serif" w:hAnsi="DejaVu Serif" w:eastAsia="DejaVu Serif"/>
          <w:b w:val="0"/>
          <w:i w:val="0"/>
          <w:color w:val="282D35"/>
          <w:sz w:val="14"/>
        </w:rPr>
        <w:t>© 2014-2024 AnalystPrep.</w:t>
      </w:r>
    </w:p>
    <w:p>
      <w:pPr>
        <w:sectPr>
          <w:pgSz w:w="12240" w:h="15840"/>
          <w:pgMar w:top="588" w:right="1140" w:bottom="320" w:left="11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6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40.0" w:type="dxa"/>
      </w:tblPr>
      <w:tblGrid>
        <w:gridCol w:w="9940"/>
      </w:tblGrid>
      <w:tr>
        <w:trPr>
          <w:trHeight w:hRule="exact" w:val="666"/>
        </w:trPr>
        <w:tc>
          <w:tcPr>
            <w:tcW w:type="dxa" w:w="9640"/>
            <w:tcBorders/>
            <w:shd w:fill="f6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78" w:after="0"/>
              <w:ind w:left="440" w:right="0" w:firstLine="0"/>
              <w:jc w:val="left"/>
            </w:pPr>
            <w:r>
              <w:rPr>
                <w:rFonts w:ascii="DejaVu Serif" w:hAnsi="DejaVu Serif" w:eastAsia="DejaVu Serif"/>
                <w:b/>
                <w:i w:val="0"/>
                <w:color w:val="282D35"/>
                <w:sz w:val="28"/>
              </w:rPr>
              <w:t>Question 2</w:t>
            </w:r>
          </w:p>
        </w:tc>
      </w:tr>
    </w:tbl>
    <w:p>
      <w:pPr>
        <w:autoSpaceDN w:val="0"/>
        <w:autoSpaceDE w:val="0"/>
        <w:widowControl/>
        <w:spacing w:line="5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80.0" w:type="dxa"/>
      </w:tblPr>
      <w:tblGrid>
        <w:gridCol w:w="9940"/>
      </w:tblGrid>
      <w:tr>
        <w:trPr>
          <w:trHeight w:hRule="exact" w:val="354"/>
        </w:trPr>
        <w:tc>
          <w:tcPr>
            <w:tcW w:type="dxa" w:w="9340"/>
            <w:tcBorders/>
            <w:shd w:fill="f6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What are the arithmetic mean and geometric mean, respectively, of an investment</w:t>
            </w:r>
          </w:p>
        </w:tc>
      </w:tr>
    </w:tbl>
    <w:p>
      <w:pPr>
        <w:autoSpaceDN w:val="0"/>
        <w:autoSpaceDE w:val="0"/>
        <w:widowControl/>
        <w:spacing w:line="6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80.0" w:type="dxa"/>
      </w:tblPr>
      <w:tblGrid>
        <w:gridCol w:w="9940"/>
      </w:tblGrid>
      <w:tr>
        <w:trPr>
          <w:trHeight w:hRule="exact" w:val="354"/>
        </w:trPr>
        <w:tc>
          <w:tcPr>
            <w:tcW w:type="dxa" w:w="7840"/>
            <w:tcBorders/>
            <w:shd w:fill="f6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30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that returns 8%, -2%, and 6% each year for three years?</w:t>
            </w:r>
          </w:p>
        </w:tc>
      </w:tr>
    </w:tbl>
    <w:p>
      <w:pPr>
        <w:autoSpaceDN w:val="0"/>
        <w:autoSpaceDE w:val="0"/>
        <w:widowControl/>
        <w:spacing w:line="26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80.0" w:type="dxa"/>
      </w:tblPr>
      <w:tblGrid>
        <w:gridCol w:w="9940"/>
      </w:tblGrid>
      <w:tr>
        <w:trPr>
          <w:trHeight w:hRule="exact" w:val="354"/>
        </w:trPr>
        <w:tc>
          <w:tcPr>
            <w:tcW w:type="dxa" w:w="7700"/>
            <w:tcBorders/>
            <w:shd w:fill="f6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30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A. Arithmetic mean = 5.3%; Geometric mean = 5.2%.</w:t>
            </w:r>
          </w:p>
        </w:tc>
      </w:tr>
    </w:tbl>
    <w:p>
      <w:pPr>
        <w:autoSpaceDN w:val="0"/>
        <w:autoSpaceDE w:val="0"/>
        <w:widowControl/>
        <w:spacing w:line="26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80.0" w:type="dxa"/>
      </w:tblPr>
      <w:tblGrid>
        <w:gridCol w:w="9940"/>
      </w:tblGrid>
      <w:tr>
        <w:trPr>
          <w:trHeight w:hRule="exact" w:val="354"/>
        </w:trPr>
        <w:tc>
          <w:tcPr>
            <w:tcW w:type="dxa" w:w="7700"/>
            <w:tcBorders/>
            <w:shd w:fill="f6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30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B. Arithmetic mean = 4.0%; Geometric mean = 3.6%.</w:t>
            </w:r>
          </w:p>
        </w:tc>
      </w:tr>
    </w:tbl>
    <w:p>
      <w:pPr>
        <w:autoSpaceDN w:val="0"/>
        <w:autoSpaceDE w:val="0"/>
        <w:widowControl/>
        <w:spacing w:line="26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80.0" w:type="dxa"/>
      </w:tblPr>
      <w:tblGrid>
        <w:gridCol w:w="9940"/>
      </w:tblGrid>
      <w:tr>
        <w:trPr>
          <w:trHeight w:hRule="exact" w:val="354"/>
        </w:trPr>
        <w:tc>
          <w:tcPr>
            <w:tcW w:type="dxa" w:w="7760"/>
            <w:tcBorders/>
            <w:shd w:fill="f6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30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C. Arithmentic mean = 4.0%; Geometric mean = 3.9%.</w:t>
            </w:r>
          </w:p>
        </w:tc>
      </w:tr>
    </w:tbl>
    <w:p>
      <w:pPr>
        <w:autoSpaceDN w:val="0"/>
        <w:autoSpaceDE w:val="0"/>
        <w:widowControl/>
        <w:spacing w:line="26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80.0" w:type="dxa"/>
      </w:tblPr>
      <w:tblGrid>
        <w:gridCol w:w="9940"/>
      </w:tblGrid>
      <w:tr>
        <w:trPr>
          <w:trHeight w:hRule="exact" w:val="356"/>
        </w:trPr>
        <w:tc>
          <w:tcPr>
            <w:tcW w:type="dxa" w:w="5440"/>
            <w:tcBorders/>
            <w:shd w:fill="f6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300" w:right="0" w:firstLine="0"/>
              <w:jc w:val="left"/>
            </w:pPr>
            <w:r>
              <w:rPr>
                <w:rFonts w:ascii="DejaVu Serif" w:hAnsi="DejaVu Serif" w:eastAsia="DejaVu Serif"/>
                <w:b/>
                <w:i w:val="0"/>
                <w:color w:val="444444"/>
                <w:sz w:val="20"/>
              </w:rPr>
              <w:t>Solution</w:t>
            </w:r>
          </w:p>
        </w:tc>
      </w:tr>
    </w:tbl>
    <w:p>
      <w:pPr>
        <w:autoSpaceDN w:val="0"/>
        <w:autoSpaceDE w:val="0"/>
        <w:widowControl/>
        <w:spacing w:line="26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80.0" w:type="dxa"/>
      </w:tblPr>
      <w:tblGrid>
        <w:gridCol w:w="4970"/>
        <w:gridCol w:w="4970"/>
      </w:tblGrid>
      <w:tr>
        <w:trPr>
          <w:trHeight w:hRule="exact" w:val="1336"/>
        </w:trPr>
        <w:tc>
          <w:tcPr>
            <w:tcW w:type="dxa" w:w="4500"/>
            <w:tcBorders/>
            <w:shd w:fill="f6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30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The correct answer is </w:t>
            </w:r>
            <w:r>
              <w:rPr>
                <w:rFonts w:ascii="DejaVu Serif" w:hAnsi="DejaVu Serif" w:eastAsia="DejaVu Serif"/>
                <w:b/>
                <w:i w:val="0"/>
                <w:color w:val="444444"/>
                <w:sz w:val="20"/>
              </w:rPr>
              <w:t>C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259" w:lineRule="auto" w:before="606" w:after="0"/>
              <w:ind w:left="0" w:right="34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Arithmetic mean =</w:t>
            </w:r>
          </w:p>
        </w:tc>
        <w:tc>
          <w:tcPr>
            <w:tcW w:type="dxa" w:w="3720"/>
            <w:tcBorders/>
            <w:shd w:fill="f6f2f2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00" w:val="left"/>
                <w:tab w:pos="1760" w:val="left"/>
              </w:tabs>
              <w:autoSpaceDE w:val="0"/>
              <w:widowControl/>
              <w:spacing w:line="245" w:lineRule="auto" w:before="722" w:after="0"/>
              <w:ind w:left="40" w:right="1296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8% + (−2%) + 6%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= 4% </w:t>
            </w:r>
            <w:r>
              <w:tab/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3</w:t>
            </w:r>
          </w:p>
        </w:tc>
      </w:tr>
    </w:tbl>
    <w:p>
      <w:pPr>
        <w:autoSpaceDN w:val="0"/>
        <w:autoSpaceDE w:val="0"/>
        <w:widowControl/>
        <w:spacing w:line="18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40.0" w:type="dxa"/>
      </w:tblPr>
      <w:tblGrid>
        <w:gridCol w:w="9940"/>
      </w:tblGrid>
      <w:tr>
        <w:trPr>
          <w:trHeight w:hRule="exact" w:val="418"/>
        </w:trPr>
        <w:tc>
          <w:tcPr>
            <w:tcW w:type="dxa" w:w="8420"/>
            <w:tcBorders/>
            <w:shd w:fill="f6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5" w:lineRule="auto" w:before="6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Geometric mean = [(1 + 8%) × (1 + (−2%)) × (1 + 6%)]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1/3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−1 = 3.9%</w:t>
            </w:r>
          </w:p>
        </w:tc>
      </w:tr>
    </w:tbl>
    <w:p>
      <w:pPr>
        <w:autoSpaceDN w:val="0"/>
        <w:tabs>
          <w:tab w:pos="8020" w:val="left"/>
        </w:tabs>
        <w:autoSpaceDE w:val="0"/>
        <w:widowControl/>
        <w:spacing w:line="295" w:lineRule="auto" w:before="6904" w:after="0"/>
        <w:ind w:left="4846" w:right="0" w:firstLine="0"/>
        <w:jc w:val="left"/>
      </w:pPr>
      <w:r>
        <w:rPr>
          <w:rFonts w:ascii="DejaVu Serif" w:hAnsi="DejaVu Serif" w:eastAsia="DejaVu Serif"/>
          <w:b w:val="0"/>
          <w:i w:val="0"/>
          <w:color w:val="000000"/>
          <w:sz w:val="18"/>
        </w:rPr>
        <w:t>12</w:t>
      </w:r>
      <w:r>
        <w:br/>
      </w:r>
      <w:r>
        <w:tab/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© 2014-2024 AnalystPrep.</w:t>
      </w:r>
    </w:p>
    <w:p>
      <w:pPr>
        <w:sectPr>
          <w:pgSz w:w="12240" w:h="15840"/>
          <w:pgMar w:top="580" w:right="1140" w:bottom="320" w:left="11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86"/>
        <w:ind w:left="0" w:right="0"/>
      </w:pPr>
    </w:p>
    <w:p>
      <w:pPr>
        <w:autoSpaceDN w:val="0"/>
        <w:autoSpaceDE w:val="0"/>
        <w:widowControl/>
        <w:spacing w:line="290" w:lineRule="auto" w:before="0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282D35"/>
          <w:sz w:val="24"/>
        </w:rPr>
        <w:t xml:space="preserve">LOS 1c: Compare the money-weighted and time-weighted rates of return </w:t>
      </w:r>
      <w:r>
        <w:rPr>
          <w:rFonts w:ascii="DejaVu Serif" w:hAnsi="DejaVu Serif" w:eastAsia="DejaVu Serif"/>
          <w:b/>
          <w:i w:val="0"/>
          <w:color w:val="282D35"/>
          <w:sz w:val="24"/>
        </w:rPr>
        <w:t>and evaluate the performance of portfolios based on these measures</w:t>
      </w:r>
    </w:p>
    <w:p>
      <w:pPr>
        <w:autoSpaceDN w:val="0"/>
        <w:autoSpaceDE w:val="0"/>
        <w:widowControl/>
        <w:spacing w:line="240" w:lineRule="auto" w:before="442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282D35"/>
          <w:sz w:val="28"/>
        </w:rPr>
        <w:t>Money-weighted Rate of Return</w:t>
      </w:r>
    </w:p>
    <w:p>
      <w:pPr>
        <w:autoSpaceDN w:val="0"/>
        <w:autoSpaceDE w:val="0"/>
        <w:widowControl/>
        <w:spacing w:line="365" w:lineRule="auto" w:before="628" w:after="0"/>
        <w:ind w:left="0" w:right="28" w:firstLine="0"/>
        <w:jc w:val="both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The money-weighted return considers the money invested and gives the investor information on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the actual investment return. Calculating money-weighted return is similar to calculating an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investment’s internal rate of return (IRR).</w:t>
      </w:r>
    </w:p>
    <w:p>
      <w:pPr>
        <w:autoSpaceDN w:val="0"/>
        <w:autoSpaceDE w:val="0"/>
        <w:widowControl/>
        <w:spacing w:line="365" w:lineRule="auto" w:before="386" w:after="422"/>
        <w:ind w:left="0" w:right="22" w:firstLine="0"/>
        <w:jc w:val="both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The money-weighted rate of return (MWRR) is like the portfolio's internal rate of return (IRR).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It's the rate at which the present value of cash flows equals zero. In simple terms, it's a way to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measure how well a portfolio is performing.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20.0" w:type="dxa"/>
      </w:tblPr>
      <w:tblGrid>
        <w:gridCol w:w="3313"/>
        <w:gridCol w:w="3313"/>
        <w:gridCol w:w="3313"/>
      </w:tblGrid>
      <w:tr>
        <w:trPr>
          <w:trHeight w:hRule="exact" w:val="230"/>
        </w:trPr>
        <w:tc>
          <w:tcPr>
            <w:tcW w:type="dxa" w:w="2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168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T</w:t>
            </w:r>
          </w:p>
        </w:tc>
        <w:tc>
          <w:tcPr>
            <w:tcW w:type="dxa" w:w="1000"/>
            <w:vMerge w:val="restart"/>
            <w:tcBorders>
              <w:bottom w:sz="8.0" w:val="single" w:color="#282D3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auto" w:before="7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CF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t</w:t>
            </w:r>
          </w:p>
        </w:tc>
        <w:tc>
          <w:tcPr>
            <w:tcW w:type="dxa" w:w="2460"/>
            <w:vMerge w:val="restart"/>
            <w:tcBorders>
              <w:bottom w:sz="8.0" w:val="single" w:color="#282D3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96" w:after="0"/>
              <w:ind w:left="246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0</w:t>
            </w:r>
          </w:p>
        </w:tc>
      </w:tr>
      <w:tr>
        <w:trPr>
          <w:trHeight w:hRule="exact" w:val="130"/>
        </w:trPr>
        <w:tc>
          <w:tcPr>
            <w:tcW w:type="dxa" w:w="240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313"/>
            <w:vMerge/>
            <w:tcBorders>
              <w:bottom w:sz="8.0" w:val="single" w:color="#282D35"/>
            </w:tcBorders>
          </w:tcPr>
          <w:p/>
        </w:tc>
        <w:tc>
          <w:tcPr>
            <w:tcW w:type="dxa" w:w="3313"/>
            <w:vMerge/>
            <w:tcBorders>
              <w:bottom w:sz="8.0" w:val="single" w:color="#282D35"/>
            </w:tcBorders>
          </w:tcPr>
          <w:p/>
        </w:tc>
      </w:tr>
      <w:tr>
        <w:trPr>
          <w:trHeight w:hRule="exact" w:val="110"/>
        </w:trPr>
        <w:tc>
          <w:tcPr>
            <w:tcW w:type="dxa" w:w="240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00"/>
            <w:vMerge w:val="restart"/>
            <w:tcBorders>
              <w:top w:sz="8.0" w:val="single" w:color="#282D3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3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(1 + IRR)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t</w:t>
            </w:r>
          </w:p>
        </w:tc>
        <w:tc>
          <w:tcPr>
            <w:tcW w:type="dxa" w:w="2460"/>
            <w:vMerge w:val="restart"/>
            <w:tcBorders>
              <w:top w:sz="8.0" w:val="single" w:color="#282D3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8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=</w:t>
            </w:r>
          </w:p>
        </w:tc>
      </w:tr>
      <w:tr>
        <w:trPr>
          <w:trHeight w:hRule="exact" w:val="254"/>
        </w:trPr>
        <w:tc>
          <w:tcPr>
            <w:tcW w:type="dxa" w:w="2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10" w:after="0"/>
              <w:ind w:left="0" w:right="72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t=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0</w:t>
            </w:r>
          </w:p>
        </w:tc>
        <w:tc>
          <w:tcPr>
            <w:tcW w:type="dxa" w:w="3313"/>
            <w:vMerge/>
            <w:tcBorders>
              <w:top w:sz="8.0" w:val="single" w:color="#282D35"/>
            </w:tcBorders>
          </w:tcPr>
          <w:p/>
        </w:tc>
        <w:tc>
          <w:tcPr>
            <w:tcW w:type="dxa" w:w="3313"/>
            <w:vMerge/>
            <w:tcBorders>
              <w:top w:sz="8.0" w:val="single" w:color="#282D35"/>
            </w:tcBorders>
          </w:tcPr>
          <w:p/>
        </w:tc>
      </w:tr>
    </w:tbl>
    <w:p>
      <w:pPr>
        <w:autoSpaceDN w:val="0"/>
        <w:autoSpaceDE w:val="0"/>
        <w:widowControl/>
        <w:spacing w:line="240" w:lineRule="auto" w:before="420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Where:</w:t>
      </w:r>
    </w:p>
    <w:p>
      <w:pPr>
        <w:autoSpaceDN w:val="0"/>
        <w:autoSpaceDE w:val="0"/>
        <w:widowControl/>
        <w:spacing w:line="240" w:lineRule="auto" w:before="38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T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 = Number of periods.</w:t>
      </w:r>
    </w:p>
    <w:p>
      <w:pPr>
        <w:autoSpaceDN w:val="0"/>
        <w:autoSpaceDE w:val="0"/>
        <w:widowControl/>
        <w:spacing w:line="266" w:lineRule="auto" w:before="38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CF</w:t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t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 = Cash flow at time t.</w:t>
      </w:r>
    </w:p>
    <w:p>
      <w:pPr>
        <w:autoSpaceDN w:val="0"/>
        <w:autoSpaceDE w:val="0"/>
        <w:widowControl/>
        <w:spacing w:line="240" w:lineRule="auto" w:before="360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IRR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 = Internal rate of return (or money-weighted rate of return).</w:t>
      </w:r>
    </w:p>
    <w:p>
      <w:pPr>
        <w:autoSpaceDN w:val="0"/>
        <w:autoSpaceDE w:val="0"/>
        <w:widowControl/>
        <w:spacing w:line="382" w:lineRule="auto" w:before="386" w:after="0"/>
        <w:ind w:left="0" w:right="20" w:firstLine="0"/>
        <w:jc w:val="both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The money-weighted rate of return (MWRR) looks at a fund’s starting and ending values and all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the cash flows in between. In an investment portfolio, cash inflows are a part of it. These inflows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could be from deposits or investments made during a certain period. The MWRR considers these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inflows and calculates the overall rate of return for the portfolio:</w:t>
      </w:r>
    </w:p>
    <w:p>
      <w:pPr>
        <w:autoSpaceDN w:val="0"/>
        <w:tabs>
          <w:tab w:pos="980" w:val="left"/>
        </w:tabs>
        <w:autoSpaceDE w:val="0"/>
        <w:widowControl/>
        <w:spacing w:line="240" w:lineRule="auto" w:before="426" w:after="0"/>
        <w:ind w:left="5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The beginning value.</w:t>
      </w:r>
    </w:p>
    <w:p>
      <w:pPr>
        <w:autoSpaceDN w:val="0"/>
        <w:tabs>
          <w:tab w:pos="980" w:val="left"/>
        </w:tabs>
        <w:autoSpaceDE w:val="0"/>
        <w:widowControl/>
        <w:spacing w:line="240" w:lineRule="auto" w:before="386" w:after="0"/>
        <w:ind w:left="5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Dividends/interest reinvested.</w:t>
      </w:r>
    </w:p>
    <w:p>
      <w:pPr>
        <w:autoSpaceDN w:val="0"/>
        <w:tabs>
          <w:tab w:pos="980" w:val="left"/>
        </w:tabs>
        <w:autoSpaceDE w:val="0"/>
        <w:widowControl/>
        <w:spacing w:line="240" w:lineRule="auto" w:before="386" w:after="0"/>
        <w:ind w:left="5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Contributions made.</w:t>
      </w:r>
    </w:p>
    <w:p>
      <w:pPr>
        <w:autoSpaceDN w:val="0"/>
        <w:autoSpaceDE w:val="0"/>
        <w:widowControl/>
        <w:spacing w:line="240" w:lineRule="auto" w:before="42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Cash outflows, on the other hand, refer to:</w:t>
      </w:r>
    </w:p>
    <w:p>
      <w:pPr>
        <w:autoSpaceDN w:val="0"/>
        <w:tabs>
          <w:tab w:pos="8020" w:val="left"/>
        </w:tabs>
        <w:autoSpaceDE w:val="0"/>
        <w:widowControl/>
        <w:spacing w:line="295" w:lineRule="auto" w:before="764" w:after="0"/>
        <w:ind w:left="4846" w:right="0" w:firstLine="0"/>
        <w:jc w:val="left"/>
      </w:pPr>
      <w:r>
        <w:rPr>
          <w:rFonts w:ascii="DejaVu Serif" w:hAnsi="DejaVu Serif" w:eastAsia="DejaVu Serif"/>
          <w:b w:val="0"/>
          <w:i w:val="0"/>
          <w:color w:val="000000"/>
          <w:sz w:val="18"/>
        </w:rPr>
        <w:t>13</w:t>
      </w:r>
      <w:r>
        <w:br/>
      </w:r>
      <w:r>
        <w:tab/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© 2014-2024 AnalystPrep.</w:t>
      </w:r>
    </w:p>
    <w:p>
      <w:pPr>
        <w:sectPr>
          <w:pgSz w:w="12240" w:h="15840"/>
          <w:pgMar w:top="608" w:right="1142" w:bottom="342" w:left="11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06"/>
        <w:ind w:left="0" w:right="0"/>
      </w:pPr>
    </w:p>
    <w:p>
      <w:pPr>
        <w:autoSpaceDN w:val="0"/>
        <w:tabs>
          <w:tab w:pos="980" w:val="left"/>
        </w:tabs>
        <w:autoSpaceDE w:val="0"/>
        <w:widowControl/>
        <w:spacing w:line="240" w:lineRule="auto" w:before="0" w:after="0"/>
        <w:ind w:left="5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Withdrawals made.</w:t>
      </w:r>
    </w:p>
    <w:p>
      <w:pPr>
        <w:autoSpaceDN w:val="0"/>
        <w:tabs>
          <w:tab w:pos="980" w:val="left"/>
        </w:tabs>
        <w:autoSpaceDE w:val="0"/>
        <w:widowControl/>
        <w:spacing w:line="240" w:lineRule="auto" w:before="386" w:after="0"/>
        <w:ind w:left="5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Dividends or interest received.</w:t>
      </w:r>
    </w:p>
    <w:p>
      <w:pPr>
        <w:autoSpaceDN w:val="0"/>
        <w:tabs>
          <w:tab w:pos="980" w:val="left"/>
        </w:tabs>
        <w:autoSpaceDE w:val="0"/>
        <w:widowControl/>
        <w:spacing w:line="240" w:lineRule="auto" w:before="386" w:after="0"/>
        <w:ind w:left="5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The final value of the fund.</w:t>
      </w:r>
    </w:p>
    <w:p>
      <w:pPr>
        <w:autoSpaceDN w:val="0"/>
        <w:autoSpaceDE w:val="0"/>
        <w:widowControl/>
        <w:spacing w:line="240" w:lineRule="auto" w:before="526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282D35"/>
          <w:sz w:val="24"/>
        </w:rPr>
        <w:t>Example 1: Calculating Money-weighted Rate of Return</w:t>
      </w:r>
    </w:p>
    <w:p>
      <w:pPr>
        <w:autoSpaceDN w:val="0"/>
        <w:autoSpaceDE w:val="0"/>
        <w:widowControl/>
        <w:spacing w:line="240" w:lineRule="auto" w:before="498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An investor makes the following investments in a portfolio over a two-year period:</w:t>
      </w:r>
    </w:p>
    <w:p>
      <w:pPr>
        <w:autoSpaceDN w:val="0"/>
        <w:tabs>
          <w:tab w:pos="980" w:val="left"/>
        </w:tabs>
        <w:autoSpaceDE w:val="0"/>
        <w:widowControl/>
        <w:spacing w:line="240" w:lineRule="auto" w:before="426" w:after="0"/>
        <w:ind w:left="5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At the beginning of year one, the investor invests $10,000.</w:t>
      </w:r>
    </w:p>
    <w:p>
      <w:pPr>
        <w:autoSpaceDN w:val="0"/>
        <w:tabs>
          <w:tab w:pos="980" w:val="left"/>
        </w:tabs>
        <w:autoSpaceDE w:val="0"/>
        <w:widowControl/>
        <w:spacing w:line="240" w:lineRule="auto" w:before="386" w:after="0"/>
        <w:ind w:left="5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At the end of the first year, after the portfolio's value increases to $12,000, the investor</w:t>
      </w:r>
    </w:p>
    <w:p>
      <w:pPr>
        <w:autoSpaceDN w:val="0"/>
        <w:autoSpaceDE w:val="0"/>
        <w:widowControl/>
        <w:spacing w:line="240" w:lineRule="auto" w:before="186" w:after="0"/>
        <w:ind w:left="98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adds $5,000, making the total portfolio value $17,000.</w:t>
      </w:r>
    </w:p>
    <w:p>
      <w:pPr>
        <w:autoSpaceDN w:val="0"/>
        <w:tabs>
          <w:tab w:pos="980" w:val="left"/>
        </w:tabs>
        <w:autoSpaceDE w:val="0"/>
        <w:widowControl/>
        <w:spacing w:line="240" w:lineRule="auto" w:before="386" w:after="0"/>
        <w:ind w:left="5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At the end of the second year, the portfolio value further increases to $25,000.</w:t>
      </w:r>
    </w:p>
    <w:p>
      <w:pPr>
        <w:autoSpaceDN w:val="0"/>
        <w:autoSpaceDE w:val="0"/>
        <w:widowControl/>
        <w:spacing w:line="240" w:lineRule="auto" w:before="42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The money-weighted rate of return for the investor’s portfolio is closest to:</w:t>
      </w:r>
    </w:p>
    <w:p>
      <w:pPr>
        <w:autoSpaceDN w:val="0"/>
        <w:autoSpaceDE w:val="0"/>
        <w:widowControl/>
        <w:spacing w:line="240" w:lineRule="auto" w:before="384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444444"/>
          <w:sz w:val="20"/>
        </w:rPr>
        <w:t>Solution</w:t>
      </w:r>
    </w:p>
    <w:p>
      <w:pPr>
        <w:autoSpaceDN w:val="0"/>
        <w:autoSpaceDE w:val="0"/>
        <w:widowControl/>
        <w:spacing w:line="240" w:lineRule="auto" w:before="38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We need to calculate the internal rate of return (IRR) considering the following cash flows:</w:t>
      </w:r>
    </w:p>
    <w:p>
      <w:pPr>
        <w:autoSpaceDN w:val="0"/>
        <w:tabs>
          <w:tab w:pos="980" w:val="left"/>
          <w:tab w:pos="2686" w:val="left"/>
        </w:tabs>
        <w:autoSpaceDE w:val="0"/>
        <w:widowControl/>
        <w:spacing w:line="240" w:lineRule="auto" w:before="426" w:after="0"/>
        <w:ind w:left="5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CF</w:t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0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 = −$10, 000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 (Initial investment)</w:t>
      </w:r>
    </w:p>
    <w:p>
      <w:pPr>
        <w:autoSpaceDN w:val="0"/>
        <w:tabs>
          <w:tab w:pos="980" w:val="left"/>
          <w:tab w:pos="2558" w:val="left"/>
        </w:tabs>
        <w:autoSpaceDE w:val="0"/>
        <w:widowControl/>
        <w:spacing w:line="240" w:lineRule="auto" w:before="346" w:after="0"/>
        <w:ind w:left="5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CF</w:t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1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 = −$5, 000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 (Additional investment at the end of year one)</w:t>
      </w:r>
    </w:p>
    <w:p>
      <w:pPr>
        <w:autoSpaceDN w:val="0"/>
        <w:tabs>
          <w:tab w:pos="980" w:val="left"/>
          <w:tab w:pos="2686" w:val="left"/>
        </w:tabs>
        <w:autoSpaceDE w:val="0"/>
        <w:widowControl/>
        <w:spacing w:line="240" w:lineRule="auto" w:before="346" w:after="0"/>
        <w:ind w:left="5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CF</w:t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2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 = +$25, 000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 (Final portfolio value at the end of year two)</w:t>
      </w:r>
    </w:p>
    <w:p>
      <w:pPr>
        <w:autoSpaceDN w:val="0"/>
        <w:autoSpaceDE w:val="0"/>
        <w:widowControl/>
        <w:spacing w:line="240" w:lineRule="auto" w:before="386" w:after="386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To find the money-weighted rate of return, solve the equation for IRR: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28"/>
        <w:gridCol w:w="828"/>
        <w:gridCol w:w="828"/>
        <w:gridCol w:w="828"/>
        <w:gridCol w:w="828"/>
        <w:gridCol w:w="828"/>
        <w:gridCol w:w="828"/>
        <w:gridCol w:w="828"/>
        <w:gridCol w:w="828"/>
        <w:gridCol w:w="828"/>
        <w:gridCol w:w="828"/>
        <w:gridCol w:w="828"/>
      </w:tblGrid>
      <w:tr>
        <w:trPr>
          <w:trHeight w:hRule="exact" w:val="336"/>
        </w:trPr>
        <w:tc>
          <w:tcPr>
            <w:tcW w:type="dxa" w:w="210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0" w:after="0"/>
              <w:ind w:left="0" w:right="332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CF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0</w:t>
            </w:r>
          </w:p>
        </w:tc>
        <w:tc>
          <w:tcPr>
            <w:tcW w:type="dxa" w:w="30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+</w:t>
            </w:r>
          </w:p>
        </w:tc>
        <w:tc>
          <w:tcPr>
            <w:tcW w:type="dxa" w:w="102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CF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1</w:t>
            </w:r>
          </w:p>
        </w:tc>
        <w:tc>
          <w:tcPr>
            <w:tcW w:type="dxa" w:w="30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+</w:t>
            </w:r>
          </w:p>
        </w:tc>
        <w:tc>
          <w:tcPr>
            <w:tcW w:type="dxa" w:w="1040"/>
            <w:gridSpan w:val="2"/>
            <w:tcBorders>
              <w:bottom w:sz="8.0" w:val="single" w:color="#282D3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CF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2</w:t>
            </w:r>
          </w:p>
        </w:tc>
        <w:tc>
          <w:tcPr>
            <w:tcW w:type="dxa" w:w="32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40" w:val="left"/>
              </w:tabs>
              <w:autoSpaceDE w:val="0"/>
              <w:widowControl/>
              <w:spacing w:line="245" w:lineRule="auto" w:before="0" w:after="0"/>
              <w:ind w:left="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−10, 000 </w:t>
            </w:r>
            <w:r>
              <w:br/>
            </w:r>
            <w:r>
              <w:tab/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+</w:t>
            </w:r>
          </w:p>
        </w:tc>
        <w:tc>
          <w:tcPr>
            <w:tcW w:type="dxa" w:w="94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−5, 000</w:t>
            </w:r>
          </w:p>
        </w:tc>
        <w:tc>
          <w:tcPr>
            <w:tcW w:type="dxa" w:w="32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+</w:t>
            </w:r>
          </w:p>
        </w:tc>
        <w:tc>
          <w:tcPr>
            <w:tcW w:type="dxa" w:w="102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25,000</w:t>
            </w:r>
          </w:p>
        </w:tc>
        <w:tc>
          <w:tcPr>
            <w:tcW w:type="dxa" w:w="96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2" w:after="0"/>
              <w:ind w:left="0" w:right="534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0</w:t>
            </w:r>
          </w:p>
        </w:tc>
      </w:tr>
      <w:tr>
        <w:trPr>
          <w:trHeight w:hRule="exact" w:val="490"/>
        </w:trPr>
        <w:tc>
          <w:tcPr>
            <w:tcW w:type="dxa" w:w="210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10" w:after="0"/>
              <w:ind w:left="0" w:right="12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(1 + IRR)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0</w:t>
            </w:r>
          </w:p>
        </w:tc>
        <w:tc>
          <w:tcPr>
            <w:tcW w:type="dxa" w:w="30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2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1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(1 + IRR)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1</w:t>
            </w:r>
          </w:p>
        </w:tc>
        <w:tc>
          <w:tcPr>
            <w:tcW w:type="dxa" w:w="30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40"/>
            <w:gridSpan w:val="2"/>
            <w:tcBorders>
              <w:top w:sz="8.0" w:val="single" w:color="#282D3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1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(1 + IRR)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2</w:t>
            </w:r>
          </w:p>
        </w:tc>
        <w:tc>
          <w:tcPr>
            <w:tcW w:type="dxa" w:w="320"/>
            <w:vMerge w:val="restart"/>
            <w:tcBorders>
              <w:top w:sz="8.0" w:val="single" w:color="#282D3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=</w:t>
            </w:r>
          </w:p>
        </w:tc>
        <w:tc>
          <w:tcPr>
            <w:tcW w:type="dxa" w:w="1080"/>
            <w:vMerge w:val="restart"/>
            <w:tcBorders>
              <w:top w:sz="8.0" w:val="single" w:color="#282D3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634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1</w:t>
            </w:r>
          </w:p>
        </w:tc>
        <w:tc>
          <w:tcPr>
            <w:tcW w:type="dxa" w:w="940"/>
            <w:vMerge w:val="restart"/>
            <w:tcBorders>
              <w:top w:sz="8.0" w:val="single" w:color="#282D3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(1 + IRR)</w:t>
            </w:r>
          </w:p>
        </w:tc>
        <w:tc>
          <w:tcPr>
            <w:tcW w:type="dxa" w:w="320"/>
            <w:vMerge w:val="restart"/>
            <w:tcBorders>
              <w:top w:sz="8.0" w:val="single" w:color="#282D3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20"/>
            <w:vMerge w:val="restart"/>
            <w:tcBorders>
              <w:top w:sz="8.0" w:val="single" w:color="#282D3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1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(1 + IRR)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2</w:t>
            </w:r>
          </w:p>
        </w:tc>
        <w:tc>
          <w:tcPr>
            <w:tcW w:type="dxa" w:w="960"/>
            <w:vMerge w:val="restart"/>
            <w:tcBorders>
              <w:top w:sz="8.0" w:val="single" w:color="#282D3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8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=</w:t>
            </w:r>
          </w:p>
        </w:tc>
      </w:tr>
      <w:tr>
        <w:trPr>
          <w:trHeight w:hRule="exact" w:val="548"/>
        </w:trPr>
        <w:tc>
          <w:tcPr>
            <w:tcW w:type="dxa" w:w="430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54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Using BA II Plus Calculator, 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IRR ≈35.08%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54" w:after="0"/>
              <w:ind w:left="16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.</w:t>
            </w:r>
          </w:p>
        </w:tc>
        <w:tc>
          <w:tcPr>
            <w:tcW w:type="dxa" w:w="828"/>
            <w:vMerge/>
            <w:tcBorders>
              <w:top w:sz="8.0" w:val="single" w:color="#282D35"/>
            </w:tcBorders>
          </w:tcPr>
          <w:p/>
        </w:tc>
        <w:tc>
          <w:tcPr>
            <w:tcW w:type="dxa" w:w="828"/>
            <w:vMerge/>
            <w:tcBorders>
              <w:top w:sz="8.0" w:val="single" w:color="#282D35"/>
            </w:tcBorders>
          </w:tcPr>
          <w:p/>
        </w:tc>
        <w:tc>
          <w:tcPr>
            <w:tcW w:type="dxa" w:w="828"/>
            <w:vMerge/>
            <w:tcBorders>
              <w:top w:sz="8.0" w:val="single" w:color="#282D35"/>
            </w:tcBorders>
          </w:tcPr>
          <w:p/>
        </w:tc>
        <w:tc>
          <w:tcPr>
            <w:tcW w:type="dxa" w:w="828"/>
            <w:vMerge/>
            <w:tcBorders>
              <w:top w:sz="8.0" w:val="single" w:color="#282D35"/>
            </w:tcBorders>
          </w:tcPr>
          <w:p/>
        </w:tc>
        <w:tc>
          <w:tcPr>
            <w:tcW w:type="dxa" w:w="828"/>
            <w:vMerge/>
            <w:tcBorders>
              <w:top w:sz="8.0" w:val="single" w:color="#282D35"/>
            </w:tcBorders>
          </w:tcPr>
          <w:p/>
        </w:tc>
        <w:tc>
          <w:tcPr>
            <w:tcW w:type="dxa" w:w="828"/>
            <w:vMerge/>
            <w:tcBorders>
              <w:top w:sz="8.0" w:val="single" w:color="#282D35"/>
            </w:tcBorders>
          </w:tcPr>
          <w:p/>
        </w:tc>
      </w:tr>
    </w:tbl>
    <w:p>
      <w:pPr>
        <w:autoSpaceDN w:val="0"/>
        <w:autoSpaceDE w:val="0"/>
        <w:widowControl/>
        <w:spacing w:line="240" w:lineRule="auto" w:before="466" w:after="0"/>
        <w:ind w:left="0" w:right="0" w:firstLine="0"/>
        <w:jc w:val="center"/>
      </w:pPr>
      <w:r>
        <w:rPr>
          <w:rFonts w:ascii="DejaVu Serif" w:hAnsi="DejaVu Serif" w:eastAsia="DejaVu Serif"/>
          <w:b/>
          <w:i w:val="0"/>
          <w:color w:val="282D35"/>
          <w:sz w:val="24"/>
        </w:rPr>
        <w:t>Example: Calculating Money-weighted Return for a Dividend-paying</w:t>
      </w:r>
    </w:p>
    <w:p>
      <w:pPr>
        <w:autoSpaceDN w:val="0"/>
        <w:autoSpaceDE w:val="0"/>
        <w:widowControl/>
        <w:spacing w:line="240" w:lineRule="auto" w:before="58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282D35"/>
          <w:sz w:val="24"/>
        </w:rPr>
        <w:t>Stock</w:t>
      </w:r>
    </w:p>
    <w:p>
      <w:pPr>
        <w:autoSpaceDN w:val="0"/>
        <w:autoSpaceDE w:val="0"/>
        <w:widowControl/>
        <w:spacing w:line="238" w:lineRule="auto" w:before="796" w:after="0"/>
        <w:ind w:left="0" w:right="0" w:firstLine="0"/>
        <w:jc w:val="center"/>
      </w:pPr>
      <w:r>
        <w:rPr>
          <w:rFonts w:ascii="DejaVu Serif" w:hAnsi="DejaVu Serif" w:eastAsia="DejaVu Serif"/>
          <w:b w:val="0"/>
          <w:i w:val="0"/>
          <w:color w:val="000000"/>
          <w:sz w:val="18"/>
        </w:rPr>
        <w:t>14</w:t>
      </w:r>
    </w:p>
    <w:p>
      <w:pPr>
        <w:autoSpaceDN w:val="0"/>
        <w:autoSpaceDE w:val="0"/>
        <w:widowControl/>
        <w:spacing w:line="240" w:lineRule="auto" w:before="88" w:after="0"/>
        <w:ind w:left="0" w:right="24" w:firstLine="0"/>
        <w:jc w:val="right"/>
      </w:pPr>
      <w:r>
        <w:rPr>
          <w:rFonts w:ascii="DejaVu Serif" w:hAnsi="DejaVu Serif" w:eastAsia="DejaVu Serif"/>
          <w:b w:val="0"/>
          <w:i w:val="0"/>
          <w:color w:val="282D35"/>
          <w:sz w:val="14"/>
        </w:rPr>
        <w:t>© 2014-2024 AnalystPrep.</w:t>
      </w:r>
    </w:p>
    <w:p>
      <w:pPr>
        <w:sectPr>
          <w:pgSz w:w="12240" w:h="15840"/>
          <w:pgMar w:top="628" w:right="1144" w:bottom="342" w:left="11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06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Calvin Hair purchased a share of Superior Car Rental Company for $85 at the beginning of the</w:t>
      </w:r>
    </w:p>
    <w:p>
      <w:pPr>
        <w:autoSpaceDN w:val="0"/>
        <w:autoSpaceDE w:val="0"/>
        <w:widowControl/>
        <w:spacing w:line="240" w:lineRule="auto" w:before="186" w:after="0"/>
        <w:ind w:left="0" w:right="0" w:firstLine="0"/>
        <w:jc w:val="center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first year. He bought an additional unit for $87 at the end of the first year. At the end of the</w:t>
      </w:r>
    </w:p>
    <w:p>
      <w:pPr>
        <w:autoSpaceDN w:val="0"/>
        <w:autoSpaceDE w:val="0"/>
        <w:widowControl/>
        <w:spacing w:line="240" w:lineRule="auto" w:before="186" w:after="0"/>
        <w:ind w:left="0" w:right="0" w:firstLine="0"/>
        <w:jc w:val="center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second year, he sold both shares at $90. During both years, Hair received a dividend of $4 per</w:t>
      </w:r>
    </w:p>
    <w:p>
      <w:pPr>
        <w:autoSpaceDN w:val="0"/>
        <w:autoSpaceDE w:val="0"/>
        <w:widowControl/>
        <w:spacing w:line="240" w:lineRule="auto" w:before="18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share, which was not reinvested.</w:t>
      </w:r>
    </w:p>
    <w:p>
      <w:pPr>
        <w:autoSpaceDN w:val="0"/>
        <w:autoSpaceDE w:val="0"/>
        <w:widowControl/>
        <w:spacing w:line="240" w:lineRule="auto" w:before="38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Calculate the money-weighted return.</w:t>
      </w:r>
    </w:p>
    <w:p>
      <w:pPr>
        <w:autoSpaceDN w:val="0"/>
        <w:autoSpaceDE w:val="0"/>
        <w:widowControl/>
        <w:spacing w:line="240" w:lineRule="auto" w:before="384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444444"/>
          <w:sz w:val="20"/>
        </w:rPr>
        <w:t>Solution</w:t>
      </w:r>
    </w:p>
    <w:p>
      <w:pPr>
        <w:autoSpaceDN w:val="0"/>
        <w:autoSpaceDE w:val="0"/>
        <w:widowControl/>
        <w:spacing w:line="240" w:lineRule="auto" w:before="386" w:after="0"/>
        <w:ind w:left="0" w:right="0" w:firstLine="0"/>
        <w:jc w:val="center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To calculate the money-weighted return in this example, we need to consider the timing and</w:t>
      </w:r>
    </w:p>
    <w:p>
      <w:pPr>
        <w:autoSpaceDN w:val="0"/>
        <w:autoSpaceDE w:val="0"/>
        <w:widowControl/>
        <w:spacing w:line="240" w:lineRule="auto" w:before="18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amounts of cash flows and their respective investment periods.</w:t>
      </w:r>
    </w:p>
    <w:p>
      <w:pPr>
        <w:autoSpaceDN w:val="0"/>
        <w:autoSpaceDE w:val="0"/>
        <w:widowControl/>
        <w:spacing w:line="240" w:lineRule="auto" w:before="384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444444"/>
          <w:sz w:val="20"/>
        </w:rPr>
        <w:t xml:space="preserve">Step 1: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Calculate the total investment at the beginning (t=0):</w:t>
      </w:r>
    </w:p>
    <w:p>
      <w:pPr>
        <w:autoSpaceDN w:val="0"/>
        <w:autoSpaceDE w:val="0"/>
        <w:widowControl/>
        <w:spacing w:line="259" w:lineRule="auto" w:before="446" w:after="0"/>
        <w:ind w:left="0" w:right="0" w:firstLine="0"/>
        <w:jc w:val="center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Initial investment = −$85</w:t>
      </w:r>
    </w:p>
    <w:p>
      <w:pPr>
        <w:autoSpaceDN w:val="0"/>
        <w:autoSpaceDE w:val="0"/>
        <w:widowControl/>
        <w:spacing w:line="240" w:lineRule="auto" w:before="444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444444"/>
          <w:sz w:val="20"/>
        </w:rPr>
        <w:t xml:space="preserve">Step 2: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Calculate the total investment at t = 1:</w:t>
      </w:r>
    </w:p>
    <w:p>
      <w:pPr>
        <w:autoSpaceDN w:val="0"/>
        <w:autoSpaceDE w:val="0"/>
        <w:widowControl/>
        <w:spacing w:line="259" w:lineRule="auto" w:before="446" w:after="0"/>
        <w:ind w:left="30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Initial investment + Additional investment = $87 −$4( Dividend received at</w:t>
      </w:r>
    </w:p>
    <w:p>
      <w:pPr>
        <w:autoSpaceDN w:val="0"/>
        <w:autoSpaceDE w:val="0"/>
        <w:widowControl/>
        <w:spacing w:line="240" w:lineRule="auto" w:before="6" w:after="0"/>
        <w:ind w:left="0" w:right="318" w:firstLine="0"/>
        <w:jc w:val="righ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 the end of the first year, which is not reinvested)</w:t>
      </w:r>
    </w:p>
    <w:p>
      <w:pPr>
        <w:autoSpaceDN w:val="0"/>
        <w:autoSpaceDE w:val="0"/>
        <w:widowControl/>
        <w:spacing w:line="259" w:lineRule="auto" w:before="46" w:after="0"/>
        <w:ind w:left="0" w:right="4506" w:firstLine="0"/>
        <w:jc w:val="righ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= −$83</w:t>
      </w:r>
    </w:p>
    <w:p>
      <w:pPr>
        <w:autoSpaceDN w:val="0"/>
        <w:autoSpaceDE w:val="0"/>
        <w:widowControl/>
        <w:spacing w:line="240" w:lineRule="auto" w:before="484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444444"/>
          <w:sz w:val="20"/>
        </w:rPr>
        <w:t xml:space="preserve">Step 3: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Calculate the final portfolio value at t = 2:</w:t>
      </w:r>
    </w:p>
    <w:p>
      <w:pPr>
        <w:autoSpaceDN w:val="0"/>
        <w:autoSpaceDE w:val="0"/>
        <w:widowControl/>
        <w:spacing w:line="259" w:lineRule="auto" w:before="446" w:after="0"/>
        <w:ind w:left="0" w:right="0" w:firstLine="0"/>
        <w:jc w:val="center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Number of shares sold × Selling price = 2 shares × $90 = $180 + 8( Dividend received for</w:t>
      </w:r>
    </w:p>
    <w:p>
      <w:pPr>
        <w:autoSpaceDN w:val="0"/>
        <w:autoSpaceDE w:val="0"/>
        <w:widowControl/>
        <w:spacing w:line="240" w:lineRule="auto" w:before="6" w:after="0"/>
        <w:ind w:left="0" w:right="4416" w:firstLine="0"/>
        <w:jc w:val="righ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both shares)</w:t>
      </w:r>
    </w:p>
    <w:p>
      <w:pPr>
        <w:autoSpaceDN w:val="0"/>
        <w:autoSpaceDE w:val="0"/>
        <w:widowControl/>
        <w:spacing w:line="259" w:lineRule="auto" w:before="46" w:after="0"/>
        <w:ind w:left="0" w:right="4900" w:firstLine="0"/>
        <w:jc w:val="righ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= $188</w:t>
      </w:r>
    </w:p>
    <w:p>
      <w:pPr>
        <w:autoSpaceDN w:val="0"/>
        <w:autoSpaceDE w:val="0"/>
        <w:widowControl/>
        <w:spacing w:line="240" w:lineRule="auto" w:before="48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As such, we have:</w:t>
      </w:r>
    </w:p>
    <w:p>
      <w:pPr>
        <w:autoSpaceDN w:val="0"/>
        <w:autoSpaceDE w:val="0"/>
        <w:widowControl/>
        <w:spacing w:line="259" w:lineRule="auto" w:before="38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CF</w:t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0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 = −85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.</w:t>
      </w:r>
    </w:p>
    <w:p>
      <w:pPr>
        <w:autoSpaceDN w:val="0"/>
        <w:autoSpaceDE w:val="0"/>
        <w:widowControl/>
        <w:spacing w:line="259" w:lineRule="auto" w:before="36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CF</w:t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1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 = −83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.</w:t>
      </w:r>
    </w:p>
    <w:p>
      <w:pPr>
        <w:autoSpaceDN w:val="0"/>
        <w:autoSpaceDE w:val="0"/>
        <w:widowControl/>
        <w:spacing w:line="259" w:lineRule="auto" w:before="366" w:after="306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CF</w:t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2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 = 188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313"/>
        <w:gridCol w:w="3313"/>
        <w:gridCol w:w="3313"/>
      </w:tblGrid>
      <w:tr>
        <w:trPr>
          <w:trHeight w:hRule="exact" w:val="374"/>
        </w:trPr>
        <w:tc>
          <w:tcPr>
            <w:tcW w:type="dxa" w:w="4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Using the BA II Plus calculator, you will get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6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IRR = 7.71%</w:t>
            </w:r>
          </w:p>
        </w:tc>
        <w:tc>
          <w:tcPr>
            <w:tcW w:type="dxa" w:w="3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, which is equivalent to the money-</w:t>
            </w:r>
          </w:p>
        </w:tc>
      </w:tr>
    </w:tbl>
    <w:p>
      <w:pPr>
        <w:autoSpaceDN w:val="0"/>
        <w:autoSpaceDE w:val="0"/>
        <w:widowControl/>
        <w:spacing w:line="240" w:lineRule="auto" w:before="10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weighted rate of return.</w:t>
      </w:r>
    </w:p>
    <w:p>
      <w:pPr>
        <w:autoSpaceDN w:val="0"/>
        <w:autoSpaceDE w:val="0"/>
        <w:widowControl/>
        <w:spacing w:line="238" w:lineRule="auto" w:before="844" w:after="0"/>
        <w:ind w:left="0" w:right="0" w:firstLine="0"/>
        <w:jc w:val="center"/>
      </w:pPr>
      <w:r>
        <w:rPr>
          <w:rFonts w:ascii="DejaVu Serif" w:hAnsi="DejaVu Serif" w:eastAsia="DejaVu Serif"/>
          <w:b w:val="0"/>
          <w:i w:val="0"/>
          <w:color w:val="000000"/>
          <w:sz w:val="18"/>
        </w:rPr>
        <w:t>15</w:t>
      </w:r>
    </w:p>
    <w:p>
      <w:pPr>
        <w:autoSpaceDN w:val="0"/>
        <w:autoSpaceDE w:val="0"/>
        <w:widowControl/>
        <w:spacing w:line="240" w:lineRule="auto" w:before="88" w:after="0"/>
        <w:ind w:left="0" w:right="28" w:firstLine="0"/>
        <w:jc w:val="right"/>
      </w:pPr>
      <w:r>
        <w:rPr>
          <w:rFonts w:ascii="DejaVu Serif" w:hAnsi="DejaVu Serif" w:eastAsia="DejaVu Serif"/>
          <w:b w:val="0"/>
          <w:i w:val="0"/>
          <w:color w:val="282D35"/>
          <w:sz w:val="14"/>
        </w:rPr>
        <w:t>© 2014-2024 AnalystPrep.</w:t>
      </w:r>
    </w:p>
    <w:p>
      <w:pPr>
        <w:sectPr>
          <w:pgSz w:w="12240" w:h="15840"/>
          <w:pgMar w:top="628" w:right="1140" w:bottom="320" w:left="11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66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282D35"/>
          <w:sz w:val="24"/>
        </w:rPr>
        <w:t>Shortcomings of the Money-weighted Rate of Return</w:t>
      </w:r>
    </w:p>
    <w:p>
      <w:pPr>
        <w:autoSpaceDN w:val="0"/>
        <w:autoSpaceDE w:val="0"/>
        <w:widowControl/>
        <w:spacing w:line="382" w:lineRule="auto" w:before="478" w:after="0"/>
        <w:ind w:left="0" w:right="24" w:firstLine="0"/>
        <w:jc w:val="both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The money-weighted rate of return (MWRR) considers all cash flows, such as withdrawals or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contributions. If an investment spans multiple periods, MWRR gives more importance to the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fund's performance when the account is at its largest. This can be a problem for fund managers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because it might make their performance seem worse due to factors they can't control.</w:t>
      </w:r>
    </w:p>
    <w:p>
      <w:pPr>
        <w:autoSpaceDN w:val="0"/>
        <w:autoSpaceDE w:val="0"/>
        <w:widowControl/>
        <w:spacing w:line="240" w:lineRule="auto" w:before="690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282D35"/>
          <w:sz w:val="28"/>
        </w:rPr>
        <w:t>Time-Weighted Rate of Return</w:t>
      </w:r>
    </w:p>
    <w:p>
      <w:pPr>
        <w:autoSpaceDN w:val="0"/>
        <w:autoSpaceDE w:val="0"/>
        <w:widowControl/>
        <w:spacing w:line="365" w:lineRule="auto" w:before="628" w:after="0"/>
        <w:ind w:left="0" w:right="24" w:firstLine="0"/>
        <w:jc w:val="both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The time-weighted rate of return (TWRR) calculates the compound growth of an investment.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Unlike the money-weighted rate, it doesn't care about withdrawals or contributions. TWRR is like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finding the average return of different time periods within your investment.</w:t>
      </w:r>
    </w:p>
    <w:p>
      <w:pPr>
        <w:autoSpaceDN w:val="0"/>
        <w:autoSpaceDE w:val="0"/>
        <w:widowControl/>
        <w:spacing w:line="240" w:lineRule="auto" w:before="384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444444"/>
          <w:sz w:val="20"/>
        </w:rPr>
        <w:t>Steps of Calculating Time-weighted Rate of Return</w:t>
      </w:r>
    </w:p>
    <w:p>
      <w:pPr>
        <w:autoSpaceDN w:val="0"/>
        <w:autoSpaceDE w:val="0"/>
        <w:widowControl/>
        <w:spacing w:line="367" w:lineRule="auto" w:before="384" w:after="0"/>
        <w:ind w:left="0" w:right="30" w:firstLine="0"/>
        <w:jc w:val="both"/>
      </w:pPr>
      <w:r>
        <w:rPr>
          <w:rFonts w:ascii="DejaVu Serif" w:hAnsi="DejaVu Serif" w:eastAsia="DejaVu Serif"/>
          <w:b/>
          <w:i w:val="0"/>
          <w:color w:val="444444"/>
          <w:sz w:val="20"/>
        </w:rPr>
        <w:t xml:space="preserve">Step 1: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Value the portfolio immediately before any significant cash inflow or outflow of funds.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Divide the evaluation period into subperiods based on dates of significant additions or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withdrawals of funds.</w:t>
      </w:r>
    </w:p>
    <w:p>
      <w:pPr>
        <w:autoSpaceDN w:val="0"/>
        <w:autoSpaceDE w:val="0"/>
        <w:widowControl/>
        <w:spacing w:line="240" w:lineRule="auto" w:before="384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444444"/>
          <w:sz w:val="20"/>
        </w:rPr>
        <w:t xml:space="preserve">Step 2: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Compute the holding period return on the portfolio for each period.</w:t>
      </w:r>
    </w:p>
    <w:p>
      <w:pPr>
        <w:autoSpaceDN w:val="0"/>
        <w:autoSpaceDE w:val="0"/>
        <w:widowControl/>
        <w:spacing w:line="336" w:lineRule="auto" w:before="384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444444"/>
          <w:sz w:val="20"/>
        </w:rPr>
        <w:t xml:space="preserve">Step 3: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Compound or link the holding period returns to the annual rate of return, which is the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time-weighted rate of return.</w:t>
      </w:r>
    </w:p>
    <w:p>
      <w:pPr>
        <w:autoSpaceDN w:val="0"/>
        <w:autoSpaceDE w:val="0"/>
        <w:widowControl/>
        <w:spacing w:line="266" w:lineRule="auto" w:before="446" w:after="0"/>
        <w:ind w:left="0" w:right="0" w:firstLine="0"/>
        <w:jc w:val="center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TW RR =  (1 + HPR</w:t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1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 × (1 + HPR</w:t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2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) × (1 + HPR</w:t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3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) … × (1 + HPR</w:t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n−1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) × (1 + HPR</w:t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n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) – 1</w:t>
      </w:r>
    </w:p>
    <w:p>
      <w:pPr>
        <w:autoSpaceDN w:val="0"/>
        <w:autoSpaceDE w:val="0"/>
        <w:widowControl/>
        <w:spacing w:line="334" w:lineRule="auto" w:before="480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If the evaluation period is more than one year, compute the geometric mean of the annual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returns to get the time-weighted return for the investment period.</w:t>
      </w:r>
    </w:p>
    <w:p>
      <w:pPr>
        <w:autoSpaceDN w:val="0"/>
        <w:autoSpaceDE w:val="0"/>
        <w:widowControl/>
        <w:spacing w:line="326" w:lineRule="auto" w:before="486" w:after="26"/>
        <w:ind w:left="224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¯R</w:t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Gi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 =</w:t>
      </w:r>
      <w:r>
        <w:rPr>
          <w:rFonts w:ascii="DejaVu Serif" w:hAnsi="DejaVu Serif" w:eastAsia="DejaVu Serif"/>
          <w:b w:val="0"/>
          <w:i w:val="0"/>
          <w:color w:val="282D35"/>
          <w:sz w:val="12"/>
        </w:rPr>
        <w:t xml:space="preserve"> T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√(1 + HPR</w:t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1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 ) × (1 + HPR</w:t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1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 )… × (1 + HPR</w:t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n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) −1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00.0" w:type="dxa"/>
      </w:tblPr>
      <w:tblGrid>
        <w:gridCol w:w="3313"/>
        <w:gridCol w:w="3313"/>
        <w:gridCol w:w="3313"/>
      </w:tblGrid>
      <w:tr>
        <w:trPr>
          <w:trHeight w:hRule="exact" w:val="168"/>
        </w:trPr>
        <w:tc>
          <w:tcPr>
            <w:tcW w:type="dxa" w:w="58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34" w:after="0"/>
              <w:ind w:left="130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= [(1 + HPR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1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) × (1 + HPR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1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) … × (1 + HPR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n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)]</w:t>
            </w:r>
          </w:p>
        </w:tc>
        <w:tc>
          <w:tcPr>
            <w:tcW w:type="dxa" w:w="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8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2"/>
              </w:rPr>
              <w:t>1</w:t>
            </w:r>
          </w:p>
        </w:tc>
        <w:tc>
          <w:tcPr>
            <w:tcW w:type="dxa" w:w="15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4" w:after="0"/>
              <w:ind w:left="6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−1</w:t>
            </w:r>
          </w:p>
        </w:tc>
      </w:tr>
      <w:tr>
        <w:trPr>
          <w:trHeight w:hRule="exact" w:val="286"/>
        </w:trPr>
        <w:tc>
          <w:tcPr>
            <w:tcW w:type="dxa" w:w="3313"/>
            <w:vMerge/>
            <w:tcBorders/>
          </w:tcPr>
          <w:p/>
        </w:tc>
        <w:tc>
          <w:tcPr>
            <w:tcW w:type="dxa" w:w="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2"/>
              </w:rPr>
              <w:t>n</w:t>
            </w:r>
          </w:p>
        </w:tc>
        <w:tc>
          <w:tcPr>
            <w:tcW w:type="dxa" w:w="3313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64" w:lineRule="auto" w:before="380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282D35"/>
          <w:sz w:val="24"/>
        </w:rPr>
        <w:t xml:space="preserve">Example: Calculating the Time-Weighted Rate of Return (Period More </w:t>
      </w:r>
      <w:r>
        <w:rPr>
          <w:rFonts w:ascii="DejaVu Serif" w:hAnsi="DejaVu Serif" w:eastAsia="DejaVu Serif"/>
          <w:b/>
          <w:i w:val="0"/>
          <w:color w:val="282D35"/>
          <w:sz w:val="24"/>
        </w:rPr>
        <w:t>than one year)</w:t>
      </w:r>
    </w:p>
    <w:p>
      <w:pPr>
        <w:autoSpaceDN w:val="0"/>
        <w:tabs>
          <w:tab w:pos="8020" w:val="left"/>
        </w:tabs>
        <w:autoSpaceDE w:val="0"/>
        <w:widowControl/>
        <w:spacing w:line="295" w:lineRule="auto" w:before="676" w:after="0"/>
        <w:ind w:left="4846" w:right="0" w:firstLine="0"/>
        <w:jc w:val="left"/>
      </w:pPr>
      <w:r>
        <w:rPr>
          <w:rFonts w:ascii="DejaVu Serif" w:hAnsi="DejaVu Serif" w:eastAsia="DejaVu Serif"/>
          <w:b w:val="0"/>
          <w:i w:val="0"/>
          <w:color w:val="000000"/>
          <w:sz w:val="18"/>
        </w:rPr>
        <w:t>16</w:t>
      </w:r>
      <w:r>
        <w:br/>
      </w:r>
      <w:r>
        <w:tab/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© 2014-2024 AnalystPrep.</w:t>
      </w:r>
    </w:p>
    <w:p>
      <w:pPr>
        <w:sectPr>
          <w:pgSz w:w="12240" w:h="15840"/>
          <w:pgMar w:top="588" w:right="1140" w:bottom="320" w:left="11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06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An investor purchases a share of stock at t = 0 for $200. At the end of the year (at t = 1), the</w:t>
      </w:r>
    </w:p>
    <w:p>
      <w:pPr>
        <w:autoSpaceDN w:val="0"/>
        <w:autoSpaceDE w:val="0"/>
        <w:widowControl/>
        <w:spacing w:line="240" w:lineRule="auto" w:before="186" w:after="0"/>
        <w:ind w:left="0" w:right="0" w:firstLine="0"/>
        <w:jc w:val="center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investor purchases an additional share of the same stock, this time for $220. She then sells both</w:t>
      </w:r>
    </w:p>
    <w:p>
      <w:pPr>
        <w:autoSpaceDN w:val="0"/>
        <w:autoSpaceDE w:val="0"/>
        <w:widowControl/>
        <w:spacing w:line="240" w:lineRule="auto" w:before="186" w:after="0"/>
        <w:ind w:left="0" w:right="0" w:firstLine="0"/>
        <w:jc w:val="center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shares at the end of the second year for $230 each. She also received annual dividends of $3 per</w:t>
      </w:r>
    </w:p>
    <w:p>
      <w:pPr>
        <w:autoSpaceDN w:val="0"/>
        <w:autoSpaceDE w:val="0"/>
        <w:widowControl/>
        <w:spacing w:line="240" w:lineRule="auto" w:before="186" w:after="0"/>
        <w:ind w:left="0" w:right="0" w:firstLine="0"/>
        <w:jc w:val="center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share at the end of each year. Calculate the annual time-weighted rate of return on her</w:t>
      </w:r>
    </w:p>
    <w:p>
      <w:pPr>
        <w:autoSpaceDN w:val="0"/>
        <w:autoSpaceDE w:val="0"/>
        <w:widowControl/>
        <w:spacing w:line="240" w:lineRule="auto" w:before="18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investment.</w:t>
      </w:r>
    </w:p>
    <w:p>
      <w:pPr>
        <w:autoSpaceDN w:val="0"/>
        <w:autoSpaceDE w:val="0"/>
        <w:widowControl/>
        <w:spacing w:line="240" w:lineRule="auto" w:before="384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444444"/>
          <w:sz w:val="20"/>
        </w:rPr>
        <w:t>Solution</w:t>
      </w:r>
    </w:p>
    <w:p>
      <w:pPr>
        <w:autoSpaceDN w:val="0"/>
        <w:autoSpaceDE w:val="0"/>
        <w:widowControl/>
        <w:spacing w:line="240" w:lineRule="auto" w:before="38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First, we break down the two years into two one-year periods.</w:t>
      </w:r>
    </w:p>
    <w:p>
      <w:pPr>
        <w:autoSpaceDN w:val="0"/>
        <w:autoSpaceDE w:val="0"/>
        <w:widowControl/>
        <w:spacing w:line="240" w:lineRule="auto" w:before="384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444444"/>
          <w:sz w:val="20"/>
        </w:rPr>
        <w:t>Holding period 1:</w:t>
      </w:r>
    </w:p>
    <w:p>
      <w:pPr>
        <w:autoSpaceDN w:val="0"/>
        <w:autoSpaceDE w:val="0"/>
        <w:widowControl/>
        <w:spacing w:line="240" w:lineRule="auto" w:before="38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Beginning value = 200.</w:t>
      </w:r>
    </w:p>
    <w:p>
      <w:pPr>
        <w:autoSpaceDN w:val="0"/>
        <w:autoSpaceDE w:val="0"/>
        <w:widowControl/>
        <w:spacing w:line="240" w:lineRule="auto" w:before="38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Dividends paid = 3.</w:t>
      </w:r>
    </w:p>
    <w:p>
      <w:pPr>
        <w:autoSpaceDN w:val="0"/>
        <w:autoSpaceDE w:val="0"/>
        <w:widowControl/>
        <w:spacing w:line="240" w:lineRule="auto" w:before="38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Ending value = 220.</w:t>
      </w:r>
    </w:p>
    <w:p>
      <w:pPr>
        <w:autoSpaceDN w:val="0"/>
        <w:autoSpaceDE w:val="0"/>
        <w:widowControl/>
        <w:spacing w:line="240" w:lineRule="auto" w:before="384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444444"/>
          <w:sz w:val="20"/>
        </w:rPr>
        <w:t>Holding period 2:</w:t>
      </w:r>
    </w:p>
    <w:p>
      <w:pPr>
        <w:autoSpaceDN w:val="0"/>
        <w:autoSpaceDE w:val="0"/>
        <w:widowControl/>
        <w:spacing w:line="240" w:lineRule="auto" w:before="38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Beginning value = 440 (2 shares × 220)</w:t>
      </w:r>
    </w:p>
    <w:p>
      <w:pPr>
        <w:autoSpaceDN w:val="0"/>
        <w:autoSpaceDE w:val="0"/>
        <w:widowControl/>
        <w:spacing w:line="240" w:lineRule="auto" w:before="38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Dividends paid = 6 (2 shares × 3)</w:t>
      </w:r>
    </w:p>
    <w:p>
      <w:pPr>
        <w:autoSpaceDN w:val="0"/>
        <w:autoSpaceDE w:val="0"/>
        <w:widowControl/>
        <w:spacing w:line="240" w:lineRule="auto" w:before="38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Ending value = 460 (2 shares × 230)</w:t>
      </w:r>
    </w:p>
    <w:p>
      <w:pPr>
        <w:autoSpaceDN w:val="0"/>
        <w:autoSpaceDE w:val="0"/>
        <w:widowControl/>
        <w:spacing w:line="240" w:lineRule="auto" w:before="386" w:after="366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Secondly, we calculate the HPR for each period: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60.0" w:type="dxa"/>
      </w:tblPr>
      <w:tblGrid>
        <w:gridCol w:w="4970"/>
        <w:gridCol w:w="4970"/>
      </w:tblGrid>
      <w:tr>
        <w:trPr>
          <w:trHeight w:hRule="exact" w:val="1214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auto" w:before="260" w:after="0"/>
              <w:ind w:left="1584" w:right="34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HPR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1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= </w:t>
            </w:r>
            <w:r>
              <w:br/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HPR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2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=</w:t>
            </w:r>
          </w:p>
        </w:tc>
        <w:tc>
          <w:tcPr>
            <w:tcW w:type="dxa" w:w="4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40" w:val="left"/>
                <w:tab w:pos="1500" w:val="left"/>
              </w:tabs>
              <w:autoSpaceDE w:val="0"/>
              <w:widowControl/>
              <w:spacing w:line="245" w:lineRule="auto" w:before="60" w:after="0"/>
              <w:ind w:left="40" w:right="1584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(220 −200 + 3)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= 11.5% </w:t>
            </w:r>
            <w:r>
              <w:tab/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200 </w:t>
            </w:r>
            <w:r>
              <w:br/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(460 −440 + 6)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= 5.9% </w:t>
            </w:r>
            <w:r>
              <w:tab/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440</w:t>
            </w:r>
          </w:p>
        </w:tc>
      </w:tr>
    </w:tbl>
    <w:p>
      <w:pPr>
        <w:autoSpaceDN w:val="0"/>
        <w:autoSpaceDE w:val="0"/>
        <w:widowControl/>
        <w:spacing w:line="240" w:lineRule="auto" w:before="386" w:after="0"/>
        <w:ind w:left="0" w:right="0" w:firstLine="0"/>
        <w:jc w:val="center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Lastly, we need to find the geometric mean of the HPRs since we are dealing with a period of</w:t>
      </w:r>
    </w:p>
    <w:p>
      <w:pPr>
        <w:autoSpaceDN w:val="0"/>
        <w:autoSpaceDE w:val="0"/>
        <w:widowControl/>
        <w:spacing w:line="240" w:lineRule="auto" w:before="186" w:after="38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more than a year.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20.0" w:type="dxa"/>
      </w:tblPr>
      <w:tblGrid>
        <w:gridCol w:w="3313"/>
        <w:gridCol w:w="3313"/>
        <w:gridCol w:w="3313"/>
      </w:tblGrid>
      <w:tr>
        <w:trPr>
          <w:trHeight w:hRule="exact" w:val="200"/>
        </w:trPr>
        <w:tc>
          <w:tcPr>
            <w:tcW w:type="dxa" w:w="6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66" w:after="0"/>
              <w:ind w:left="104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TWRR = [(1 + HPR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1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) × (1 + HPR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1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)… × (1 + HPR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n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)]</w:t>
            </w:r>
          </w:p>
        </w:tc>
        <w:tc>
          <w:tcPr>
            <w:tcW w:type="dxa" w:w="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2"/>
              </w:rPr>
              <w:t>1</w:t>
            </w:r>
          </w:p>
        </w:tc>
        <w:tc>
          <w:tcPr>
            <w:tcW w:type="dxa" w:w="14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6" w:after="0"/>
              <w:ind w:left="6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−1</w:t>
            </w:r>
          </w:p>
        </w:tc>
      </w:tr>
      <w:tr>
        <w:trPr>
          <w:trHeight w:hRule="exact" w:val="234"/>
        </w:trPr>
        <w:tc>
          <w:tcPr>
            <w:tcW w:type="dxa" w:w="3313"/>
            <w:vMerge/>
            <w:tcBorders/>
          </w:tcPr>
          <w:p/>
        </w:tc>
        <w:tc>
          <w:tcPr>
            <w:tcW w:type="dxa" w:w="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2"/>
              </w:rPr>
              <w:t>n</w:t>
            </w:r>
          </w:p>
        </w:tc>
        <w:tc>
          <w:tcPr>
            <w:tcW w:type="dxa" w:w="3313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305" w:lineRule="auto" w:before="8" w:after="0"/>
        <w:ind w:left="0" w:right="3972" w:firstLine="0"/>
        <w:jc w:val="righ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= (1.115 × 1.059)</w:t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0.5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−1 = 8.7%</w:t>
      </w:r>
    </w:p>
    <w:p>
      <w:pPr>
        <w:autoSpaceDN w:val="0"/>
        <w:autoSpaceDE w:val="0"/>
        <w:widowControl/>
        <w:spacing w:line="384" w:lineRule="auto" w:before="386" w:after="0"/>
        <w:ind w:left="0" w:right="0" w:firstLine="0"/>
        <w:jc w:val="center"/>
      </w:pPr>
      <w:r>
        <w:rPr>
          <w:rFonts w:ascii="DejaVu Serif" w:hAnsi="DejaVu Serif" w:eastAsia="DejaVu Serif"/>
          <w:b/>
          <w:i w:val="0"/>
          <w:color w:val="282D35"/>
          <w:sz w:val="24"/>
        </w:rPr>
        <w:t xml:space="preserve">Example: Calculating the Time-weighted Rate of Return (Period Less </w:t>
      </w:r>
      <w:r>
        <w:rPr>
          <w:rFonts w:ascii="DejaVu Serif" w:hAnsi="DejaVu Serif" w:eastAsia="DejaVu Serif"/>
          <w:b w:val="0"/>
          <w:i w:val="0"/>
          <w:color w:val="000000"/>
          <w:sz w:val="18"/>
        </w:rPr>
        <w:t>17</w:t>
      </w:r>
    </w:p>
    <w:p>
      <w:pPr>
        <w:autoSpaceDN w:val="0"/>
        <w:autoSpaceDE w:val="0"/>
        <w:widowControl/>
        <w:spacing w:line="240" w:lineRule="auto" w:before="88" w:after="0"/>
        <w:ind w:left="0" w:right="28" w:firstLine="0"/>
        <w:jc w:val="right"/>
      </w:pPr>
      <w:r>
        <w:rPr>
          <w:rFonts w:ascii="DejaVu Serif" w:hAnsi="DejaVu Serif" w:eastAsia="DejaVu Serif"/>
          <w:b w:val="0"/>
          <w:i w:val="0"/>
          <w:color w:val="282D35"/>
          <w:sz w:val="14"/>
        </w:rPr>
        <w:t>© 2014-2024 AnalystPrep.</w:t>
      </w:r>
    </w:p>
    <w:p>
      <w:pPr>
        <w:sectPr>
          <w:pgSz w:w="12240" w:h="15840"/>
          <w:pgMar w:top="628" w:right="1140" w:bottom="320" w:left="11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66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282D35"/>
          <w:sz w:val="24"/>
        </w:rPr>
        <w:t>than One Year)</w:t>
      </w:r>
    </w:p>
    <w:p>
      <w:pPr>
        <w:autoSpaceDN w:val="0"/>
        <w:autoSpaceDE w:val="0"/>
        <w:widowControl/>
        <w:spacing w:line="382" w:lineRule="auto" w:before="478" w:after="0"/>
        <w:ind w:left="0" w:right="24" w:firstLine="0"/>
        <w:jc w:val="both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The beginning value of a portfolio as of January 1, 2020, was $1,000,000. On February 10, the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portfolio’s value was $1,100,000, including an additional contribution of the $50,000 injected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into the portfolio on this date. The portfolio’s ending value at the beginning of April was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$1,350,000.</w:t>
      </w:r>
    </w:p>
    <w:p>
      <w:pPr>
        <w:autoSpaceDN w:val="0"/>
        <w:autoSpaceDE w:val="0"/>
        <w:widowControl/>
        <w:spacing w:line="240" w:lineRule="auto" w:before="38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The time-weighted rate of return is closest to:</w:t>
      </w:r>
    </w:p>
    <w:p>
      <w:pPr>
        <w:autoSpaceDN w:val="0"/>
        <w:autoSpaceDE w:val="0"/>
        <w:widowControl/>
        <w:spacing w:line="240" w:lineRule="auto" w:before="384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444444"/>
          <w:sz w:val="20"/>
        </w:rPr>
        <w:t>Solution</w:t>
      </w:r>
    </w:p>
    <w:p>
      <w:pPr>
        <w:autoSpaceDN w:val="0"/>
        <w:autoSpaceDE w:val="0"/>
        <w:widowControl/>
        <w:spacing w:line="240" w:lineRule="auto" w:before="386" w:after="346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The time-weighted return is calculated as follows: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20.0" w:type="dxa"/>
      </w:tblPr>
      <w:tblGrid>
        <w:gridCol w:w="2485"/>
        <w:gridCol w:w="2485"/>
        <w:gridCol w:w="2485"/>
        <w:gridCol w:w="2485"/>
      </w:tblGrid>
      <w:tr>
        <w:trPr>
          <w:trHeight w:hRule="exact" w:val="376"/>
        </w:trPr>
        <w:tc>
          <w:tcPr>
            <w:tcW w:type="dxa" w:w="220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6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V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1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−V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0</w:t>
            </w:r>
          </w:p>
        </w:tc>
        <w:tc>
          <w:tcPr>
            <w:tcW w:type="dxa" w:w="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6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=</w:t>
            </w:r>
          </w:p>
        </w:tc>
        <w:tc>
          <w:tcPr>
            <w:tcW w:type="dxa" w:w="4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000" w:val="left"/>
                <w:tab w:pos="3140" w:val="left"/>
              </w:tabs>
              <w:autoSpaceDE w:val="0"/>
              <w:widowControl/>
              <w:spacing w:line="245" w:lineRule="auto" w:before="60" w:after="0"/>
              <w:ind w:left="40" w:right="1008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(1, 100, 000 −50,000) −1, 000,000 </w:t>
            </w:r>
            <w:r>
              <w:tab/>
            </w:r>
            <w:r>
              <w:tab/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= 5% </w:t>
            </w:r>
            <w:r>
              <w:tab/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1, 000, 000</w:t>
            </w:r>
          </w:p>
        </w:tc>
      </w:tr>
      <w:tr>
        <w:trPr>
          <w:trHeight w:hRule="exact" w:val="270"/>
        </w:trPr>
        <w:tc>
          <w:tcPr>
            <w:tcW w:type="dxa" w:w="220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0" w:after="0"/>
              <w:ind w:left="0" w:right="54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HPR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1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=</w:t>
            </w:r>
          </w:p>
        </w:tc>
        <w:tc>
          <w:tcPr>
            <w:tcW w:type="dxa" w:w="76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V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0</w:t>
            </w:r>
          </w:p>
        </w:tc>
        <w:tc>
          <w:tcPr>
            <w:tcW w:type="dxa" w:w="2485"/>
            <w:vMerge/>
            <w:tcBorders/>
          </w:tcPr>
          <w:p/>
        </w:tc>
        <w:tc>
          <w:tcPr>
            <w:tcW w:type="dxa" w:w="2485"/>
            <w:vMerge/>
            <w:tcBorders/>
          </w:tcPr>
          <w:p/>
        </w:tc>
      </w:tr>
      <w:tr>
        <w:trPr>
          <w:trHeight w:hRule="exact" w:val="270"/>
        </w:trPr>
        <w:tc>
          <w:tcPr>
            <w:tcW w:type="dxa" w:w="2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54" w:after="0"/>
              <w:ind w:left="0" w:right="54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HPR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2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=</w:t>
            </w:r>
          </w:p>
        </w:tc>
        <w:tc>
          <w:tcPr>
            <w:tcW w:type="dxa" w:w="76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V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2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−V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1</w:t>
            </w:r>
          </w:p>
        </w:tc>
        <w:tc>
          <w:tcPr>
            <w:tcW w:type="dxa" w:w="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4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=</w:t>
            </w:r>
          </w:p>
        </w:tc>
        <w:tc>
          <w:tcPr>
            <w:tcW w:type="dxa" w:w="4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20" w:val="left"/>
                <w:tab w:pos="2160" w:val="left"/>
              </w:tabs>
              <w:autoSpaceDE w:val="0"/>
              <w:widowControl/>
              <w:spacing w:line="245" w:lineRule="auto" w:before="0" w:after="0"/>
              <w:ind w:left="40" w:right="144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1, 350, 000 −1, 100, 000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= 22.73% </w:t>
            </w:r>
            <w:r>
              <w:tab/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1, 100, 000</w:t>
            </w:r>
          </w:p>
        </w:tc>
      </w:tr>
      <w:tr>
        <w:trPr>
          <w:trHeight w:hRule="exact" w:val="284"/>
        </w:trPr>
        <w:tc>
          <w:tcPr>
            <w:tcW w:type="dxa" w:w="2485"/>
            <w:vMerge/>
            <w:tcBorders/>
          </w:tcPr>
          <w:p/>
        </w:tc>
        <w:tc>
          <w:tcPr>
            <w:tcW w:type="dxa" w:w="76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4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V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1</w:t>
            </w:r>
          </w:p>
        </w:tc>
        <w:tc>
          <w:tcPr>
            <w:tcW w:type="dxa" w:w="2485"/>
            <w:vMerge/>
            <w:tcBorders/>
          </w:tcPr>
          <w:p/>
        </w:tc>
        <w:tc>
          <w:tcPr>
            <w:tcW w:type="dxa" w:w="2485"/>
            <w:vMerge/>
            <w:tcBorders/>
          </w:tcPr>
          <w:p/>
        </w:tc>
      </w:tr>
      <w:tr>
        <w:trPr>
          <w:trHeight w:hRule="exact" w:val="270"/>
        </w:trPr>
        <w:tc>
          <w:tcPr>
            <w:tcW w:type="dxa" w:w="78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0" w:after="0"/>
              <w:ind w:left="102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⇒TWRR = (1 + HPR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1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) × (1 + HPR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1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) −1</w:t>
            </w:r>
          </w:p>
        </w:tc>
      </w:tr>
    </w:tbl>
    <w:p>
      <w:pPr>
        <w:autoSpaceDN w:val="0"/>
        <w:autoSpaceDE w:val="0"/>
        <w:widowControl/>
        <w:spacing w:line="259" w:lineRule="auto" w:before="10" w:after="0"/>
        <w:ind w:left="0" w:right="3892" w:firstLine="0"/>
        <w:jc w:val="righ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= 1.05 × 1.2273 −1 = 28.87%</w:t>
      </w:r>
    </w:p>
    <w:p>
      <w:pPr>
        <w:autoSpaceDN w:val="0"/>
        <w:tabs>
          <w:tab w:pos="8020" w:val="left"/>
        </w:tabs>
        <w:autoSpaceDE w:val="0"/>
        <w:widowControl/>
        <w:spacing w:line="295" w:lineRule="auto" w:before="7324" w:after="0"/>
        <w:ind w:left="4846" w:right="0" w:firstLine="0"/>
        <w:jc w:val="left"/>
      </w:pPr>
      <w:r>
        <w:rPr>
          <w:rFonts w:ascii="DejaVu Serif" w:hAnsi="DejaVu Serif" w:eastAsia="DejaVu Serif"/>
          <w:b w:val="0"/>
          <w:i w:val="0"/>
          <w:color w:val="000000"/>
          <w:sz w:val="18"/>
        </w:rPr>
        <w:t>18</w:t>
      </w:r>
      <w:r>
        <w:br/>
      </w:r>
      <w:r>
        <w:tab/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© 2014-2024 AnalystPrep.</w:t>
      </w:r>
    </w:p>
    <w:p>
      <w:pPr>
        <w:sectPr>
          <w:pgSz w:w="12240" w:h="15840"/>
          <w:pgMar w:top="588" w:right="1140" w:bottom="320" w:left="11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6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40.0" w:type="dxa"/>
      </w:tblPr>
      <w:tblGrid>
        <w:gridCol w:w="9940"/>
      </w:tblGrid>
      <w:tr>
        <w:trPr>
          <w:trHeight w:hRule="exact" w:val="666"/>
        </w:trPr>
        <w:tc>
          <w:tcPr>
            <w:tcW w:type="dxa" w:w="9640"/>
            <w:tcBorders/>
            <w:shd w:fill="f6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78" w:after="0"/>
              <w:ind w:left="440" w:right="0" w:firstLine="0"/>
              <w:jc w:val="left"/>
            </w:pPr>
            <w:r>
              <w:rPr>
                <w:rFonts w:ascii="DejaVu Serif" w:hAnsi="DejaVu Serif" w:eastAsia="DejaVu Serif"/>
                <w:b/>
                <w:i w:val="0"/>
                <w:color w:val="282D35"/>
                <w:sz w:val="28"/>
              </w:rPr>
              <w:t>Question</w:t>
            </w:r>
          </w:p>
        </w:tc>
      </w:tr>
    </w:tbl>
    <w:p>
      <w:pPr>
        <w:autoSpaceDN w:val="0"/>
        <w:autoSpaceDE w:val="0"/>
        <w:widowControl/>
        <w:spacing w:line="391" w:lineRule="auto" w:before="568" w:after="0"/>
        <w:ind w:left="580" w:right="602" w:firstLine="0"/>
        <w:jc w:val="both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A chartered analyst buys a share of stock at time t = 0 for $50. At t = 1, he purchases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an extra share of the same stock for $53. The share gives a dividend of $0.50 per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share for the first year and $0.60 per share for the second year. He sells the shares at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the end of the second year for $55 per share. Calculate the annual time-weighted rate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of return.</w:t>
      </w:r>
    </w:p>
    <w:p>
      <w:pPr>
        <w:autoSpaceDN w:val="0"/>
        <w:autoSpaceDE w:val="0"/>
        <w:widowControl/>
        <w:spacing w:line="240" w:lineRule="auto" w:before="386" w:after="0"/>
        <w:ind w:left="58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A. 5.90%.</w:t>
      </w:r>
    </w:p>
    <w:p>
      <w:pPr>
        <w:autoSpaceDN w:val="0"/>
        <w:autoSpaceDE w:val="0"/>
        <w:widowControl/>
        <w:spacing w:line="240" w:lineRule="auto" w:before="386" w:after="0"/>
        <w:ind w:left="58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B.12.24%.</w:t>
      </w:r>
    </w:p>
    <w:p>
      <w:pPr>
        <w:autoSpaceDN w:val="0"/>
        <w:autoSpaceDE w:val="0"/>
        <w:widowControl/>
        <w:spacing w:line="240" w:lineRule="auto" w:before="386" w:after="0"/>
        <w:ind w:left="58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C. 7.00%.</w:t>
      </w:r>
    </w:p>
    <w:p>
      <w:pPr>
        <w:autoSpaceDN w:val="0"/>
        <w:autoSpaceDE w:val="0"/>
        <w:widowControl/>
        <w:spacing w:line="240" w:lineRule="auto" w:before="384" w:after="326"/>
        <w:ind w:left="58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The correct answer is</w:t>
      </w:r>
      <w:r>
        <w:rPr>
          <w:rFonts w:ascii="DejaVu Serif" w:hAnsi="DejaVu Serif" w:eastAsia="DejaVu Serif"/>
          <w:b/>
          <w:i w:val="0"/>
          <w:color w:val="444444"/>
          <w:sz w:val="20"/>
        </w:rPr>
        <w:t xml:space="preserve"> A.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0.0" w:type="dxa"/>
      </w:tblPr>
      <w:tblGrid>
        <w:gridCol w:w="4970"/>
        <w:gridCol w:w="4970"/>
      </w:tblGrid>
      <w:tr>
        <w:trPr>
          <w:trHeight w:hRule="exact" w:val="1914"/>
        </w:trPr>
        <w:tc>
          <w:tcPr>
            <w:tcW w:type="dxa" w:w="4600"/>
            <w:tcBorders/>
            <w:shd w:fill="f6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We have two one-year holding periods:</w:t>
            </w:r>
          </w:p>
          <w:p>
            <w:pPr>
              <w:autoSpaceDN w:val="0"/>
              <w:autoSpaceDE w:val="0"/>
              <w:widowControl/>
              <w:spacing w:line="266" w:lineRule="auto" w:before="446" w:after="0"/>
              <w:ind w:left="0" w:right="272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HP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1</w:t>
            </w:r>
          </w:p>
          <w:p>
            <w:pPr>
              <w:autoSpaceDN w:val="0"/>
              <w:autoSpaceDE w:val="0"/>
              <w:widowControl/>
              <w:spacing w:line="281" w:lineRule="auto" w:before="20" w:after="0"/>
              <w:ind w:left="0" w:right="86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P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0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= 50</w:t>
            </w:r>
          </w:p>
          <w:p>
            <w:pPr>
              <w:autoSpaceDN w:val="0"/>
              <w:autoSpaceDE w:val="0"/>
              <w:widowControl/>
              <w:spacing w:line="259" w:lineRule="auto" w:before="6" w:after="0"/>
              <w:ind w:left="0" w:right="84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D = 0.5</w:t>
            </w:r>
          </w:p>
          <w:p>
            <w:pPr>
              <w:autoSpaceDN w:val="0"/>
              <w:autoSpaceDE w:val="0"/>
              <w:widowControl/>
              <w:spacing w:line="281" w:lineRule="auto" w:before="26" w:after="0"/>
              <w:ind w:left="0" w:right="86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P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1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= 53</w:t>
            </w:r>
          </w:p>
        </w:tc>
        <w:tc>
          <w:tcPr>
            <w:tcW w:type="dxa" w:w="3040"/>
            <w:tcBorders/>
            <w:shd w:fill="f6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auto" w:before="740" w:after="0"/>
              <w:ind w:left="0" w:right="2016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HP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 xml:space="preserve">2 </w:t>
            </w:r>
            <w:r>
              <w:br/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P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0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= 106 </w:t>
            </w:r>
            <w:r>
              <w:br/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D = 1.2 </w:t>
            </w:r>
            <w:r>
              <w:br/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P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1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= 110</w:t>
            </w:r>
          </w:p>
        </w:tc>
      </w:tr>
    </w:tbl>
    <w:p>
      <w:pPr>
        <w:autoSpaceDN w:val="0"/>
        <w:autoSpaceDE w:val="0"/>
        <w:widowControl/>
        <w:spacing w:line="3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80.0" w:type="dxa"/>
      </w:tblPr>
      <w:tblGrid>
        <w:gridCol w:w="4970"/>
        <w:gridCol w:w="4970"/>
      </w:tblGrid>
      <w:tr>
        <w:trPr>
          <w:trHeight w:hRule="exact" w:val="486"/>
        </w:trPr>
        <w:tc>
          <w:tcPr>
            <w:tcW w:type="dxa" w:w="7980"/>
            <w:gridSpan w:val="2"/>
            <w:tcBorders/>
            <w:shd w:fill="f6f2f2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30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We now calculate the holding period returns:</w:t>
            </w:r>
          </w:p>
        </w:tc>
      </w:tr>
      <w:tr>
        <w:trPr>
          <w:trHeight w:hRule="exact" w:val="1310"/>
        </w:trPr>
        <w:tc>
          <w:tcPr>
            <w:tcW w:type="dxa" w:w="3900"/>
            <w:tcBorders/>
            <w:shd w:fill="f6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auto" w:before="414" w:after="0"/>
              <w:ind w:left="3024" w:right="34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HPR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1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= </w:t>
            </w:r>
            <w:r>
              <w:br/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HPR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2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=</w:t>
            </w:r>
          </w:p>
        </w:tc>
        <w:tc>
          <w:tcPr>
            <w:tcW w:type="dxa" w:w="4080"/>
            <w:tcBorders/>
            <w:shd w:fill="f6f2f2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00" w:val="left"/>
                <w:tab w:pos="640" w:val="left"/>
                <w:tab w:pos="1480" w:val="left"/>
                <w:tab w:pos="1680" w:val="left"/>
              </w:tabs>
              <w:autoSpaceDE w:val="0"/>
              <w:widowControl/>
              <w:spacing w:line="245" w:lineRule="auto" w:before="214" w:after="0"/>
              <w:ind w:left="60" w:right="1584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(53 −50 + 0.5) </w:t>
            </w:r>
            <w:r>
              <w:br/>
            </w:r>
            <w:r>
              <w:tab/>
            </w:r>
            <w:r>
              <w:tab/>
            </w:r>
            <w:r>
              <w:tab/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= 7% </w:t>
            </w:r>
            <w:r>
              <w:br/>
            </w:r>
            <w:r>
              <w:tab/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50 </w:t>
            </w:r>
            <w:r>
              <w:br/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(110 −106 + 1.2) </w:t>
            </w:r>
            <w:r>
              <w:br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= 4.9% </w:t>
            </w:r>
            <w:r>
              <w:tab/>
            </w:r>
            <w:r>
              <w:tab/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106</w:t>
            </w:r>
          </w:p>
        </w:tc>
      </w:tr>
    </w:tbl>
    <w:p>
      <w:pPr>
        <w:autoSpaceDN w:val="0"/>
        <w:autoSpaceDE w:val="0"/>
        <w:widowControl/>
        <w:spacing w:line="259" w:lineRule="auto" w:before="4" w:after="426"/>
        <w:ind w:left="0" w:right="0" w:firstLine="0"/>
        <w:jc w:val="center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⇒TWRR = 1.07 × 1.049 −1 = 12.24%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0.0" w:type="dxa"/>
      </w:tblPr>
      <w:tblGrid>
        <w:gridCol w:w="9940"/>
      </w:tblGrid>
      <w:tr>
        <w:trPr>
          <w:trHeight w:hRule="exact" w:val="354"/>
        </w:trPr>
        <w:tc>
          <w:tcPr>
            <w:tcW w:type="dxa" w:w="5500"/>
            <w:tcBorders/>
            <w:shd w:fill="f6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30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Therefore,</w:t>
            </w:r>
          </w:p>
        </w:tc>
      </w:tr>
    </w:tbl>
    <w:p>
      <w:pPr>
        <w:autoSpaceDN w:val="0"/>
        <w:autoSpaceDE w:val="0"/>
        <w:widowControl/>
        <w:spacing w:line="3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400.0" w:type="dxa"/>
      </w:tblPr>
      <w:tblGrid>
        <w:gridCol w:w="9940"/>
      </w:tblGrid>
      <w:tr>
        <w:trPr>
          <w:trHeight w:hRule="exact" w:val="418"/>
        </w:trPr>
        <w:tc>
          <w:tcPr>
            <w:tcW w:type="dxa" w:w="7120"/>
            <w:tcBorders/>
            <w:shd w:fill="f6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5" w:lineRule="auto" w:before="6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Annual TWRR = (1 + 0.1224)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0.5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−1 = 5.9%</w:t>
            </w:r>
          </w:p>
        </w:tc>
      </w:tr>
    </w:tbl>
    <w:p>
      <w:pPr>
        <w:autoSpaceDN w:val="0"/>
        <w:tabs>
          <w:tab w:pos="8020" w:val="left"/>
        </w:tabs>
        <w:autoSpaceDE w:val="0"/>
        <w:widowControl/>
        <w:spacing w:line="295" w:lineRule="auto" w:before="1744" w:after="0"/>
        <w:ind w:left="4846" w:right="0" w:firstLine="0"/>
        <w:jc w:val="left"/>
      </w:pPr>
      <w:r>
        <w:rPr>
          <w:rFonts w:ascii="DejaVu Serif" w:hAnsi="DejaVu Serif" w:eastAsia="DejaVu Serif"/>
          <w:b w:val="0"/>
          <w:i w:val="0"/>
          <w:color w:val="000000"/>
          <w:sz w:val="18"/>
        </w:rPr>
        <w:t>19</w:t>
      </w:r>
      <w:r>
        <w:br/>
      </w:r>
      <w:r>
        <w:tab/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© 2014-2024 AnalystPrep.</w:t>
      </w:r>
    </w:p>
    <w:p>
      <w:pPr>
        <w:sectPr>
          <w:pgSz w:w="12240" w:h="15840"/>
          <w:pgMar w:top="580" w:right="1140" w:bottom="320" w:left="11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86"/>
        <w:ind w:left="0" w:right="0"/>
      </w:pPr>
    </w:p>
    <w:p>
      <w:pPr>
        <w:autoSpaceDN w:val="0"/>
        <w:autoSpaceDE w:val="0"/>
        <w:widowControl/>
        <w:spacing w:line="290" w:lineRule="auto" w:before="0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282D35"/>
          <w:sz w:val="24"/>
        </w:rPr>
        <w:t xml:space="preserve">LOS 1d: Calculate and interpret annualized return measures and </w:t>
      </w:r>
      <w:r>
        <w:rPr>
          <w:rFonts w:ascii="DejaVu Serif" w:hAnsi="DejaVu Serif" w:eastAsia="DejaVu Serif"/>
          <w:b/>
          <w:i w:val="0"/>
          <w:color w:val="282D35"/>
          <w:sz w:val="24"/>
        </w:rPr>
        <w:t>continuously compounded returns and describe their appropriate uses</w:t>
      </w:r>
    </w:p>
    <w:p>
      <w:pPr>
        <w:autoSpaceDN w:val="0"/>
        <w:autoSpaceDE w:val="0"/>
        <w:widowControl/>
        <w:spacing w:line="334" w:lineRule="auto" w:before="538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To compare returns over different timeframes, we need to annualize them. This means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converting daily, weekly, monthly, or quarterly returns into annual figures.</w:t>
      </w:r>
    </w:p>
    <w:p>
      <w:pPr>
        <w:autoSpaceDN w:val="0"/>
        <w:autoSpaceDE w:val="0"/>
        <w:widowControl/>
        <w:spacing w:line="240" w:lineRule="auto" w:before="690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282D35"/>
          <w:sz w:val="28"/>
        </w:rPr>
        <w:t>Non-Annual Compounding</w:t>
      </w:r>
    </w:p>
    <w:p>
      <w:pPr>
        <w:autoSpaceDN w:val="0"/>
        <w:autoSpaceDE w:val="0"/>
        <w:widowControl/>
        <w:spacing w:line="365" w:lineRule="auto" w:before="628" w:after="402"/>
        <w:ind w:left="0" w:right="32" w:firstLine="0"/>
        <w:jc w:val="both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Interest may be paid semiannually, quarterly, monthly, or even daily – interest payments can be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made more than once a year. Consequently, the present value formula can be expressed as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follows when there are multiple compounding periods in a year: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80.0" w:type="dxa"/>
      </w:tblPr>
      <w:tblGrid>
        <w:gridCol w:w="2485"/>
        <w:gridCol w:w="2485"/>
        <w:gridCol w:w="2485"/>
        <w:gridCol w:w="2485"/>
      </w:tblGrid>
      <w:tr>
        <w:trPr>
          <w:trHeight w:hRule="exact" w:val="380"/>
        </w:trPr>
        <w:tc>
          <w:tcPr>
            <w:tcW w:type="dxa" w:w="350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16" w:after="0"/>
              <w:ind w:left="0" w:right="74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PV   FV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(1 +</w:t>
            </w:r>
          </w:p>
        </w:tc>
        <w:tc>
          <w:tcPr>
            <w:tcW w:type="dxa" w:w="28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auto" w:before="84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R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S</w:t>
            </w:r>
          </w:p>
        </w:tc>
        <w:tc>
          <w:tcPr>
            <w:tcW w:type="dxa" w:w="10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8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60" w:after="0"/>
              <w:ind w:left="2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−mN</w:t>
            </w:r>
          </w:p>
        </w:tc>
      </w:tr>
      <w:tr>
        <w:trPr>
          <w:trHeight w:hRule="exact" w:val="298"/>
        </w:trPr>
        <w:tc>
          <w:tcPr>
            <w:tcW w:type="dxa" w:w="350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538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=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N</w:t>
            </w:r>
          </w:p>
        </w:tc>
        <w:tc>
          <w:tcPr>
            <w:tcW w:type="dxa" w:w="28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m</w:t>
            </w:r>
          </w:p>
        </w:tc>
        <w:tc>
          <w:tcPr>
            <w:tcW w:type="dxa" w:w="10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8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42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Where:</w:t>
      </w:r>
    </w:p>
    <w:p>
      <w:pPr>
        <w:autoSpaceDN w:val="0"/>
        <w:autoSpaceDE w:val="0"/>
        <w:widowControl/>
        <w:spacing w:line="240" w:lineRule="auto" w:before="38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m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 = Number of compounding periods in a year.</w:t>
      </w:r>
    </w:p>
    <w:p>
      <w:pPr>
        <w:autoSpaceDN w:val="0"/>
        <w:autoSpaceDE w:val="0"/>
        <w:widowControl/>
        <w:spacing w:line="266" w:lineRule="auto" w:before="38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R</w:t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s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 = Quoted annual interest rate.</w:t>
      </w:r>
    </w:p>
    <w:p>
      <w:pPr>
        <w:autoSpaceDN w:val="0"/>
        <w:autoSpaceDE w:val="0"/>
        <w:widowControl/>
        <w:spacing w:line="240" w:lineRule="auto" w:before="360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N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 = Number of years.</w:t>
      </w:r>
    </w:p>
    <w:p>
      <w:pPr>
        <w:autoSpaceDN w:val="0"/>
        <w:autoSpaceDE w:val="0"/>
        <w:widowControl/>
        <w:spacing w:line="264" w:lineRule="auto" w:before="526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282D35"/>
          <w:sz w:val="24"/>
        </w:rPr>
        <w:t xml:space="preserve">Example: Calculating the Present Value of a Lump Sum (More than One </w:t>
      </w:r>
      <w:r>
        <w:rPr>
          <w:rFonts w:ascii="DejaVu Serif" w:hAnsi="DejaVu Serif" w:eastAsia="DejaVu Serif"/>
          <w:b/>
          <w:i w:val="0"/>
          <w:color w:val="282D35"/>
          <w:sz w:val="24"/>
        </w:rPr>
        <w:t>Compounding Period)</w:t>
      </w:r>
    </w:p>
    <w:p>
      <w:pPr>
        <w:autoSpaceDN w:val="0"/>
        <w:autoSpaceDE w:val="0"/>
        <w:widowControl/>
        <w:spacing w:line="334" w:lineRule="auto" w:before="498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Jane Doe wants to invest money today and have it become $500,000 in five years. The annual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interest rate is 8%, and it's compounded quarterly. How much should Jane invest right now?</w:t>
      </w:r>
    </w:p>
    <w:p>
      <w:pPr>
        <w:autoSpaceDN w:val="0"/>
        <w:autoSpaceDE w:val="0"/>
        <w:widowControl/>
        <w:spacing w:line="240" w:lineRule="auto" w:before="386" w:after="326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Using the formula above: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485"/>
        <w:gridCol w:w="2485"/>
        <w:gridCol w:w="2485"/>
        <w:gridCol w:w="2485"/>
      </w:tblGrid>
      <w:tr>
        <w:trPr>
          <w:trHeight w:hRule="exact" w:val="486"/>
        </w:trPr>
        <w:tc>
          <w:tcPr>
            <w:tcW w:type="dxa" w:w="17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6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FV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 xml:space="preserve"> N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= $500,000</w:t>
            </w:r>
          </w:p>
        </w:tc>
        <w:tc>
          <w:tcPr>
            <w:tcW w:type="dxa" w:w="4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12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.</w:t>
            </w:r>
          </w:p>
        </w:tc>
      </w:tr>
      <w:tr>
        <w:trPr>
          <w:trHeight w:hRule="exact" w:val="640"/>
        </w:trPr>
        <w:tc>
          <w:tcPr>
            <w:tcW w:type="dxa" w:w="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0" w:lineRule="auto" w:before="194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R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S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= 8%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94" w:after="0"/>
              <w:ind w:left="16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.</w:t>
            </w:r>
          </w:p>
        </w:tc>
        <w:tc>
          <w:tcPr>
            <w:tcW w:type="dxa" w:w="2485"/>
            <w:vMerge/>
            <w:tcBorders/>
          </w:tcPr>
          <w:p/>
        </w:tc>
      </w:tr>
      <w:tr>
        <w:trPr>
          <w:trHeight w:hRule="exact" w:val="488"/>
        </w:trPr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74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m = 4</w:t>
            </w:r>
          </w:p>
        </w:tc>
        <w:tc>
          <w:tcPr>
            <w:tcW w:type="dxa" w:w="11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74" w:after="0"/>
              <w:ind w:left="16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.</w:t>
            </w:r>
          </w:p>
        </w:tc>
        <w:tc>
          <w:tcPr>
            <w:tcW w:type="dxa" w:w="2485"/>
            <w:vMerge/>
            <w:tcBorders/>
          </w:tcPr>
          <w:p/>
        </w:tc>
      </w:tr>
    </w:tbl>
    <w:p>
      <w:pPr>
        <w:autoSpaceDN w:val="0"/>
        <w:tabs>
          <w:tab w:pos="8020" w:val="left"/>
        </w:tabs>
        <w:autoSpaceDE w:val="0"/>
        <w:widowControl/>
        <w:spacing w:line="295" w:lineRule="auto" w:before="424" w:after="0"/>
        <w:ind w:left="4846" w:right="0" w:firstLine="0"/>
        <w:jc w:val="left"/>
      </w:pPr>
      <w:r>
        <w:rPr>
          <w:rFonts w:ascii="DejaVu Serif" w:hAnsi="DejaVu Serif" w:eastAsia="DejaVu Serif"/>
          <w:b w:val="0"/>
          <w:i w:val="0"/>
          <w:color w:val="000000"/>
          <w:sz w:val="18"/>
        </w:rPr>
        <w:t>20</w:t>
      </w:r>
      <w:r>
        <w:br/>
      </w:r>
      <w:r>
        <w:tab/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© 2014-2024 AnalystPrep.</w:t>
      </w:r>
    </w:p>
    <w:p>
      <w:pPr>
        <w:sectPr>
          <w:pgSz w:w="12240" w:h="15840"/>
          <w:pgMar w:top="608" w:right="1140" w:bottom="320" w:left="11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7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10.0" w:type="dxa"/>
      </w:tblPr>
      <w:tblGrid>
        <w:gridCol w:w="2487"/>
        <w:gridCol w:w="2487"/>
        <w:gridCol w:w="2487"/>
        <w:gridCol w:w="2487"/>
      </w:tblGrid>
      <w:tr>
        <w:trPr>
          <w:trHeight w:hRule="exact" w:val="200"/>
        </w:trPr>
        <w:tc>
          <w:tcPr>
            <w:tcW w:type="dxa" w:w="82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0" w:after="0"/>
              <w:ind w:left="2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R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/m </w:t>
            </w:r>
          </w:p>
        </w:tc>
        <w:tc>
          <w:tcPr>
            <w:tcW w:type="dxa" w:w="20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8%</w:t>
            </w:r>
          </w:p>
        </w:tc>
        <w:tc>
          <w:tcPr>
            <w:tcW w:type="dxa" w:w="134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0" w:after="0"/>
              <w:ind w:left="246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2%  0.02</w:t>
            </w:r>
          </w:p>
        </w:tc>
        <w:tc>
          <w:tcPr>
            <w:tcW w:type="dxa" w:w="382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.</w:t>
            </w:r>
          </w:p>
        </w:tc>
      </w:tr>
      <w:tr>
        <w:trPr>
          <w:trHeight w:hRule="exact" w:val="244"/>
        </w:trPr>
        <w:tc>
          <w:tcPr>
            <w:tcW w:type="dxa" w:w="82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18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s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=</w:t>
            </w:r>
          </w:p>
        </w:tc>
        <w:tc>
          <w:tcPr>
            <w:tcW w:type="dxa" w:w="20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4</w:t>
            </w:r>
          </w:p>
        </w:tc>
        <w:tc>
          <w:tcPr>
            <w:tcW w:type="dxa" w:w="134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8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==</w:t>
            </w:r>
          </w:p>
        </w:tc>
        <w:tc>
          <w:tcPr>
            <w:tcW w:type="dxa" w:w="382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59" w:lineRule="auto" w:before="240" w:after="0"/>
        <w:ind w:left="1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N = 5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.</w:t>
      </w:r>
    </w:p>
    <w:p>
      <w:pPr>
        <w:autoSpaceDN w:val="0"/>
        <w:autoSpaceDE w:val="0"/>
        <w:widowControl/>
        <w:spacing w:line="259" w:lineRule="auto" w:before="366" w:after="0"/>
        <w:ind w:left="1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mN = 4 × 5 = 20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.</w:t>
      </w:r>
    </w:p>
    <w:p>
      <w:pPr>
        <w:autoSpaceDN w:val="0"/>
        <w:autoSpaceDE w:val="0"/>
        <w:widowControl/>
        <w:spacing w:line="240" w:lineRule="auto" w:before="366" w:after="402"/>
        <w:ind w:left="1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Therefore,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30.0" w:type="dxa"/>
      </w:tblPr>
      <w:tblGrid>
        <w:gridCol w:w="1990"/>
        <w:gridCol w:w="1990"/>
        <w:gridCol w:w="1990"/>
        <w:gridCol w:w="1990"/>
        <w:gridCol w:w="1990"/>
      </w:tblGrid>
      <w:tr>
        <w:trPr>
          <w:trHeight w:hRule="exact" w:val="380"/>
        </w:trPr>
        <w:tc>
          <w:tcPr>
            <w:tcW w:type="dxa" w:w="254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16" w:after="0"/>
              <w:ind w:left="0" w:right="54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PV   FV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(1 +</w:t>
            </w:r>
          </w:p>
        </w:tc>
        <w:tc>
          <w:tcPr>
            <w:tcW w:type="dxa" w:w="30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4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R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S</w:t>
            </w:r>
          </w:p>
        </w:tc>
        <w:tc>
          <w:tcPr>
            <w:tcW w:type="dxa" w:w="80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44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6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−mN</w:t>
            </w:r>
          </w:p>
        </w:tc>
        <w:tc>
          <w:tcPr>
            <w:tcW w:type="dxa" w:w="490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5" w:lineRule="auto" w:before="72" w:after="0"/>
              <w:ind w:left="206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$500 000 × (1.02)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−20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$336 485.67</w:t>
            </w:r>
          </w:p>
        </w:tc>
      </w:tr>
      <w:tr>
        <w:trPr>
          <w:trHeight w:hRule="exact" w:val="298"/>
        </w:trPr>
        <w:tc>
          <w:tcPr>
            <w:tcW w:type="dxa" w:w="254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538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=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 xml:space="preserve"> N</w:t>
            </w:r>
          </w:p>
        </w:tc>
        <w:tc>
          <w:tcPr>
            <w:tcW w:type="dxa" w:w="30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m</w:t>
            </w:r>
          </w:p>
        </w:tc>
        <w:tc>
          <w:tcPr>
            <w:tcW w:type="dxa" w:w="80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44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90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4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=,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=,</w:t>
            </w:r>
          </w:p>
        </w:tc>
      </w:tr>
    </w:tbl>
    <w:p>
      <w:pPr>
        <w:autoSpaceDN w:val="0"/>
        <w:autoSpaceDE w:val="0"/>
        <w:widowControl/>
        <w:spacing w:line="240" w:lineRule="auto" w:before="424" w:after="0"/>
        <w:ind w:left="10" w:right="0" w:firstLine="0"/>
        <w:jc w:val="left"/>
      </w:pPr>
      <w:r>
        <w:rPr>
          <w:rFonts w:ascii="DejaVu Serif" w:hAnsi="DejaVu Serif" w:eastAsia="DejaVu Serif"/>
          <w:b/>
          <w:i w:val="0"/>
          <w:color w:val="444444"/>
          <w:sz w:val="20"/>
        </w:rPr>
        <w:t>Using BA II Plus Calculator</w:t>
      </w:r>
      <w:r>
        <w:rPr>
          <w:rFonts w:ascii="DejaVu Serif" w:hAnsi="DejaVu Serif" w:eastAsia="DejaVu Serif"/>
          <w:b w:val="0"/>
          <w:i w:val="0"/>
          <w:color w:val="282D35"/>
          <w:sz w:val="20"/>
          <w:u w:val="single"/>
        </w:rPr>
        <w:t>:</w:t>
      </w:r>
    </w:p>
    <w:p>
      <w:pPr>
        <w:autoSpaceDN w:val="0"/>
        <w:tabs>
          <w:tab w:pos="990" w:val="left"/>
        </w:tabs>
        <w:autoSpaceDE w:val="0"/>
        <w:widowControl/>
        <w:spacing w:line="240" w:lineRule="auto" w:before="426" w:after="0"/>
        <w:ind w:left="53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Press the [2nd] button, then the [FV] button to clear the financial registers. The display </w:t>
      </w:r>
      <w:r>
        <w:tab/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should show “CLR TVM.”</w:t>
      </w:r>
    </w:p>
    <w:p>
      <w:pPr>
        <w:autoSpaceDN w:val="0"/>
        <w:tabs>
          <w:tab w:pos="990" w:val="left"/>
        </w:tabs>
        <w:autoSpaceDE w:val="0"/>
        <w:widowControl/>
        <w:spacing w:line="240" w:lineRule="auto" w:before="386" w:after="0"/>
        <w:ind w:left="53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Enter the future value (FV). This is the amount Jane wants to have in five years, which </w:t>
      </w:r>
      <w:r>
        <w:tab/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is $500,000. To do this, type “500000” and press the [FV] button.</w:t>
      </w:r>
    </w:p>
    <w:p>
      <w:pPr>
        <w:autoSpaceDN w:val="0"/>
        <w:tabs>
          <w:tab w:pos="990" w:val="left"/>
        </w:tabs>
        <w:autoSpaceDE w:val="0"/>
        <w:widowControl/>
        <w:spacing w:line="240" w:lineRule="auto" w:before="386" w:after="0"/>
        <w:ind w:left="53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Enter the interest rate (I/Y). This is the annual interest rate, which is 8%. However, </w:t>
      </w:r>
      <w:r>
        <w:tab/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since interest is compounded quarterly, we need to divide this by 4. To do this, type “8”, </w:t>
      </w:r>
      <w:r>
        <w:tab/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press the [÷] button, type “4”, then press the [ENTER] button, and finally press the </w:t>
      </w:r>
      <w:r>
        <w:tab/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[I/Y] button.</w:t>
      </w:r>
    </w:p>
    <w:p>
      <w:pPr>
        <w:autoSpaceDN w:val="0"/>
        <w:tabs>
          <w:tab w:pos="990" w:val="left"/>
        </w:tabs>
        <w:autoSpaceDE w:val="0"/>
        <w:widowControl/>
        <w:spacing w:line="240" w:lineRule="auto" w:before="386" w:after="0"/>
        <w:ind w:left="53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Enter the number of periods (N). This is the number of quarters in five years, which is </w:t>
      </w:r>
      <w:r>
        <w:tab/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5*4 = 20. To do this, type “20” and press the [N] button.</w:t>
      </w:r>
    </w:p>
    <w:p>
      <w:pPr>
        <w:autoSpaceDN w:val="0"/>
        <w:tabs>
          <w:tab w:pos="990" w:val="left"/>
        </w:tabs>
        <w:autoSpaceDE w:val="0"/>
        <w:widowControl/>
        <w:spacing w:line="240" w:lineRule="auto" w:before="386" w:after="0"/>
        <w:ind w:left="53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Compute the present value (PV). To do this, press the [CPT] and then the [PV] buttons. </w:t>
      </w:r>
      <w:r>
        <w:tab/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The display should show the amount Jane needs to invest today, approximately </w:t>
      </w:r>
      <w:r>
        <w:tab/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$336,485.49.</w:t>
      </w:r>
    </w:p>
    <w:p>
      <w:pPr>
        <w:autoSpaceDN w:val="0"/>
        <w:autoSpaceDE w:val="0"/>
        <w:widowControl/>
        <w:spacing w:line="240" w:lineRule="auto" w:before="690" w:after="0"/>
        <w:ind w:left="10" w:right="0" w:firstLine="0"/>
        <w:jc w:val="left"/>
      </w:pPr>
      <w:r>
        <w:rPr>
          <w:rFonts w:ascii="DejaVu Serif" w:hAnsi="DejaVu Serif" w:eastAsia="DejaVu Serif"/>
          <w:b/>
          <w:i w:val="0"/>
          <w:color w:val="282D35"/>
          <w:sz w:val="28"/>
        </w:rPr>
        <w:t>Annualized Returns</w:t>
      </w:r>
    </w:p>
    <w:p>
      <w:pPr>
        <w:autoSpaceDN w:val="0"/>
        <w:autoSpaceDE w:val="0"/>
        <w:widowControl/>
        <w:spacing w:line="365" w:lineRule="auto" w:before="628" w:after="0"/>
        <w:ind w:left="10" w:right="22" w:firstLine="0"/>
        <w:jc w:val="both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To annualize a return for a period shorter than a year, you need to account for how many times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that period fits into a year. For example, if you have a weekly return, you would compound it 52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times because there are 52 weeks in a year.</w:t>
      </w:r>
    </w:p>
    <w:p>
      <w:pPr>
        <w:autoSpaceDN w:val="0"/>
        <w:tabs>
          <w:tab w:pos="8030" w:val="left"/>
        </w:tabs>
        <w:autoSpaceDE w:val="0"/>
        <w:widowControl/>
        <w:spacing w:line="295" w:lineRule="auto" w:before="384" w:after="0"/>
        <w:ind w:left="4856" w:right="0" w:firstLine="0"/>
        <w:jc w:val="left"/>
      </w:pPr>
      <w:r>
        <w:rPr>
          <w:rFonts w:ascii="DejaVu Serif" w:hAnsi="DejaVu Serif" w:eastAsia="DejaVu Serif"/>
          <w:b w:val="0"/>
          <w:i w:val="0"/>
          <w:color w:val="000000"/>
          <w:sz w:val="18"/>
        </w:rPr>
        <w:t>21</w:t>
      </w:r>
      <w:r>
        <w:br/>
      </w:r>
      <w:r>
        <w:tab/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© 2014-2024 AnalystPrep.</w:t>
      </w:r>
    </w:p>
    <w:p>
      <w:pPr>
        <w:sectPr>
          <w:pgSz w:w="12240" w:h="15840"/>
          <w:pgMar w:top="596" w:right="1142" w:bottom="342" w:left="11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06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Generally, we can annualize the returns using the following formula:</w:t>
      </w:r>
    </w:p>
    <w:p>
      <w:pPr>
        <w:autoSpaceDN w:val="0"/>
        <w:autoSpaceDE w:val="0"/>
        <w:widowControl/>
        <w:spacing w:line="305" w:lineRule="auto" w:before="442" w:after="0"/>
        <w:ind w:left="0" w:right="0" w:firstLine="0"/>
        <w:jc w:val="center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Return</w:t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annual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 = (1 + Return</w:t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period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)</w:t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c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−1</w:t>
      </w:r>
    </w:p>
    <w:p>
      <w:pPr>
        <w:autoSpaceDN w:val="0"/>
        <w:autoSpaceDE w:val="0"/>
        <w:widowControl/>
        <w:spacing w:line="240" w:lineRule="auto" w:before="46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Where:</w:t>
      </w:r>
    </w:p>
    <w:p>
      <w:pPr>
        <w:autoSpaceDN w:val="0"/>
        <w:autoSpaceDE w:val="0"/>
        <w:widowControl/>
        <w:spacing w:line="266" w:lineRule="auto" w:before="38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Return</w:t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period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 = Quoted return for the period.</w:t>
      </w:r>
    </w:p>
    <w:p>
      <w:pPr>
        <w:autoSpaceDN w:val="0"/>
        <w:autoSpaceDE w:val="0"/>
        <w:widowControl/>
        <w:spacing w:line="240" w:lineRule="auto" w:before="360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c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 = Number of periods in a year.</w:t>
      </w:r>
    </w:p>
    <w:p>
      <w:pPr>
        <w:autoSpaceDN w:val="0"/>
        <w:autoSpaceDE w:val="0"/>
        <w:widowControl/>
        <w:spacing w:line="240" w:lineRule="auto" w:before="526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282D35"/>
          <w:sz w:val="24"/>
        </w:rPr>
        <w:t>Example: Annualizing Returns</w:t>
      </w:r>
    </w:p>
    <w:p>
      <w:pPr>
        <w:autoSpaceDN w:val="0"/>
        <w:autoSpaceDE w:val="0"/>
        <w:widowControl/>
        <w:spacing w:line="240" w:lineRule="auto" w:before="498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If the monthly return is 0.7%, then the compound annual return is:</w:t>
      </w:r>
    </w:p>
    <w:p>
      <w:pPr>
        <w:autoSpaceDN w:val="0"/>
        <w:tabs>
          <w:tab w:pos="3880" w:val="left"/>
          <w:tab w:pos="5920" w:val="left"/>
        </w:tabs>
        <w:autoSpaceDE w:val="0"/>
        <w:widowControl/>
        <w:spacing w:line="355" w:lineRule="auto" w:before="406" w:after="0"/>
        <w:ind w:left="2620" w:right="2592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Return</w:t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annual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 = (1 + Return</w:t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monthly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) </w:t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12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 −1 </w:t>
      </w:r>
      <w:r>
        <w:br/>
      </w:r>
      <w:r>
        <w:tab/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= (1.007)</w:t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12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−1 = 0.0873 = 8.73%</w:t>
      </w:r>
    </w:p>
    <w:p>
      <w:pPr>
        <w:autoSpaceDN w:val="0"/>
        <w:autoSpaceDE w:val="0"/>
        <w:widowControl/>
        <w:spacing w:line="240" w:lineRule="auto" w:before="466" w:after="38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For a period of more than one year, for example, a 15-month return of 16% can be annualized as: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80.0" w:type="dxa"/>
      </w:tblPr>
      <w:tblGrid>
        <w:gridCol w:w="4970"/>
        <w:gridCol w:w="4970"/>
      </w:tblGrid>
      <w:tr>
        <w:trPr>
          <w:trHeight w:hRule="exact" w:val="840"/>
        </w:trPr>
        <w:tc>
          <w:tcPr>
            <w:tcW w:type="dxa" w:w="5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0" w:after="0"/>
              <w:ind w:left="1500" w:right="0" w:firstLine="342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2"/>
                <w:u w:val="single"/>
              </w:rPr>
              <w:t xml:space="preserve">12 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Return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annual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= (1 + Return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15 month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) 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2"/>
              </w:rPr>
              <w:t>15</w:t>
            </w:r>
          </w:p>
          <w:p>
            <w:pPr>
              <w:autoSpaceDN w:val="0"/>
              <w:tabs>
                <w:tab w:pos="3580" w:val="left"/>
                <w:tab w:pos="3740" w:val="left"/>
              </w:tabs>
              <w:autoSpaceDE w:val="0"/>
              <w:widowControl/>
              <w:spacing w:line="245" w:lineRule="auto" w:before="0" w:after="0"/>
              <w:ind w:left="2740" w:right="0" w:firstLine="0"/>
              <w:jc w:val="left"/>
            </w:pPr>
            <w:r>
              <w:tab/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2"/>
                <w:u w:val="single"/>
              </w:rPr>
              <w:t xml:space="preserve">4 </w:t>
            </w:r>
            <w:r>
              <w:br/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= (1.16) 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2"/>
              </w:rPr>
              <w:t>5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−1 = 12.61%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6" w:after="0"/>
              <w:ind w:left="2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−1</w:t>
            </w:r>
          </w:p>
        </w:tc>
      </w:tr>
    </w:tbl>
    <w:p>
      <w:pPr>
        <w:autoSpaceDN w:val="0"/>
        <w:autoSpaceDE w:val="0"/>
        <w:widowControl/>
        <w:spacing w:line="240" w:lineRule="auto" w:before="426" w:after="0"/>
        <w:ind w:left="0" w:right="0" w:firstLine="0"/>
        <w:jc w:val="center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We may apply the same procedure to convert weekly returns to annual returns for comparison</w:t>
      </w:r>
    </w:p>
    <w:p>
      <w:pPr>
        <w:autoSpaceDN w:val="0"/>
        <w:autoSpaceDE w:val="0"/>
        <w:widowControl/>
        <w:spacing w:line="240" w:lineRule="auto" w:before="18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with weekly returns.</w:t>
      </w:r>
    </w:p>
    <w:p>
      <w:pPr>
        <w:autoSpaceDN w:val="0"/>
        <w:autoSpaceDE w:val="0"/>
        <w:widowControl/>
        <w:spacing w:line="550" w:lineRule="auto" w:before="406" w:after="0"/>
        <w:ind w:left="0" w:right="0" w:firstLine="0"/>
        <w:jc w:val="center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Return</w:t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annual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 = (1 + Return</w:t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weekly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) </w:t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52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 −1 </w:t>
      </w:r>
      <w:r>
        <w:br/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For comparison with weekly returns, we can convert annual returns to weekly returns by making</w:t>
      </w:r>
    </w:p>
    <w:p>
      <w:pPr>
        <w:autoSpaceDN w:val="0"/>
        <w:autoSpaceDE w:val="0"/>
        <w:widowControl/>
        <w:spacing w:line="290" w:lineRule="auto" w:before="182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(Return</w:t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weekly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)</w:t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52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 the subject of the formula.</w:t>
      </w:r>
    </w:p>
    <w:p>
      <w:pPr>
        <w:autoSpaceDN w:val="0"/>
        <w:autoSpaceDE w:val="0"/>
        <w:widowControl/>
        <w:spacing w:line="240" w:lineRule="auto" w:before="480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282D35"/>
          <w:sz w:val="24"/>
        </w:rPr>
        <w:t>Example: Comparing Investments by Annualizing Returns</w:t>
      </w:r>
    </w:p>
    <w:p>
      <w:pPr>
        <w:autoSpaceDN w:val="0"/>
        <w:autoSpaceDE w:val="0"/>
        <w:widowControl/>
        <w:spacing w:line="240" w:lineRule="auto" w:before="498" w:after="0"/>
        <w:ind w:left="0" w:right="0" w:firstLine="0"/>
        <w:jc w:val="center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An investor is evaluating the returns of two recently formed bonds. Selected return information</w:t>
      </w:r>
    </w:p>
    <w:p>
      <w:pPr>
        <w:autoSpaceDN w:val="0"/>
        <w:autoSpaceDE w:val="0"/>
        <w:widowControl/>
        <w:spacing w:line="240" w:lineRule="auto" w:before="18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on the bonds is presented below:</w:t>
      </w:r>
    </w:p>
    <w:p>
      <w:pPr>
        <w:autoSpaceDN w:val="0"/>
        <w:autoSpaceDE w:val="0"/>
        <w:widowControl/>
        <w:spacing w:line="238" w:lineRule="auto" w:before="1024" w:after="0"/>
        <w:ind w:left="0" w:right="0" w:firstLine="0"/>
        <w:jc w:val="center"/>
      </w:pPr>
      <w:r>
        <w:rPr>
          <w:rFonts w:ascii="DejaVu Serif" w:hAnsi="DejaVu Serif" w:eastAsia="DejaVu Serif"/>
          <w:b w:val="0"/>
          <w:i w:val="0"/>
          <w:color w:val="000000"/>
          <w:sz w:val="18"/>
        </w:rPr>
        <w:t>22</w:t>
      </w:r>
    </w:p>
    <w:p>
      <w:pPr>
        <w:autoSpaceDN w:val="0"/>
        <w:autoSpaceDE w:val="0"/>
        <w:widowControl/>
        <w:spacing w:line="240" w:lineRule="auto" w:before="88" w:after="0"/>
        <w:ind w:left="0" w:right="28" w:firstLine="0"/>
        <w:jc w:val="right"/>
      </w:pPr>
      <w:r>
        <w:rPr>
          <w:rFonts w:ascii="DejaVu Serif" w:hAnsi="DejaVu Serif" w:eastAsia="DejaVu Serif"/>
          <w:b w:val="0"/>
          <w:i w:val="0"/>
          <w:color w:val="282D35"/>
          <w:sz w:val="14"/>
        </w:rPr>
        <w:t>© 2014-2024 AnalystPrep.</w:t>
      </w:r>
    </w:p>
    <w:p>
      <w:pPr>
        <w:sectPr>
          <w:pgSz w:w="12240" w:h="15840"/>
          <w:pgMar w:top="628" w:right="1140" w:bottom="320" w:left="11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6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020.0" w:type="dxa"/>
      </w:tblPr>
      <w:tblGrid>
        <w:gridCol w:w="3313"/>
        <w:gridCol w:w="3313"/>
        <w:gridCol w:w="3313"/>
      </w:tblGrid>
      <w:tr>
        <w:trPr>
          <w:trHeight w:hRule="exact" w:val="290"/>
        </w:trPr>
        <w:tc>
          <w:tcPr>
            <w:tcW w:type="dxa" w:w="710"/>
            <w:tcBorders>
              <w:end w:sz="8.0" w:val="single" w:color="#282D35"/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Bond</w:t>
            </w:r>
          </w:p>
        </w:tc>
        <w:tc>
          <w:tcPr>
            <w:tcW w:type="dxa" w:w="2300"/>
            <w:tcBorders>
              <w:start w:sz="8.0" w:val="single" w:color="#282D35"/>
              <w:end w:sz="8.0" w:val="single" w:color="#282D35"/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Time Since Issuance</w:t>
            </w:r>
          </w:p>
        </w:tc>
        <w:tc>
          <w:tcPr>
            <w:tcW w:type="dxa" w:w="2870"/>
            <w:tcBorders>
              <w:start w:sz="8.0" w:val="single" w:color="#282D35"/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Return Since Issuance (%)</w:t>
            </w:r>
          </w:p>
        </w:tc>
      </w:tr>
      <w:tr>
        <w:trPr>
          <w:trHeight w:hRule="exact" w:val="280"/>
        </w:trPr>
        <w:tc>
          <w:tcPr>
            <w:tcW w:type="dxa" w:w="710"/>
            <w:tcBorders>
              <w:top w:sz="8.0" w:val="single" w:color="#282D35"/>
              <w:end w:sz="8.0" w:val="single" w:color="#282D35"/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A</w:t>
            </w:r>
          </w:p>
        </w:tc>
        <w:tc>
          <w:tcPr>
            <w:tcW w:type="dxa" w:w="2300"/>
            <w:tcBorders>
              <w:start w:sz="8.0" w:val="single" w:color="#282D35"/>
              <w:top w:sz="8.0" w:val="single" w:color="#282D35"/>
              <w:end w:sz="8.0" w:val="single" w:color="#282D35"/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120 days</w:t>
            </w:r>
          </w:p>
        </w:tc>
        <w:tc>
          <w:tcPr>
            <w:tcW w:type="dxa" w:w="2870"/>
            <w:tcBorders>
              <w:start w:sz="8.0" w:val="single" w:color="#282D35"/>
              <w:top w:sz="8.0" w:val="single" w:color="#282D35"/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2.50</w:t>
            </w:r>
          </w:p>
        </w:tc>
      </w:tr>
      <w:tr>
        <w:trPr>
          <w:trHeight w:hRule="exact" w:val="290"/>
        </w:trPr>
        <w:tc>
          <w:tcPr>
            <w:tcW w:type="dxa" w:w="710"/>
            <w:tcBorders>
              <w:top w:sz="8.0" w:val="single" w:color="#282D35"/>
              <w:end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B</w:t>
            </w:r>
          </w:p>
        </w:tc>
        <w:tc>
          <w:tcPr>
            <w:tcW w:type="dxa" w:w="2300"/>
            <w:tcBorders>
              <w:start w:sz="8.0" w:val="single" w:color="#282D35"/>
              <w:top w:sz="8.0" w:val="single" w:color="#282D35"/>
              <w:end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8 months</w:t>
            </w:r>
          </w:p>
        </w:tc>
        <w:tc>
          <w:tcPr>
            <w:tcW w:type="dxa" w:w="2870"/>
            <w:tcBorders>
              <w:start w:sz="8.0" w:val="single" w:color="#282D35"/>
              <w:top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6.00</w:t>
            </w:r>
          </w:p>
        </w:tc>
      </w:tr>
    </w:tbl>
    <w:p>
      <w:pPr>
        <w:autoSpaceDN w:val="0"/>
        <w:autoSpaceDE w:val="0"/>
        <w:widowControl/>
        <w:spacing w:line="240" w:lineRule="auto" w:before="598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282D35"/>
          <w:sz w:val="28"/>
        </w:rPr>
        <w:t>Annualized Return Calculation</w:t>
      </w:r>
    </w:p>
    <w:p>
      <w:pPr>
        <w:autoSpaceDN w:val="0"/>
        <w:autoSpaceDE w:val="0"/>
        <w:widowControl/>
        <w:spacing w:line="240" w:lineRule="auto" w:before="608" w:after="0"/>
        <w:ind w:left="0" w:right="0" w:firstLine="0"/>
        <w:jc w:val="center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To compare the annualized rate of return for both bonds, you can use the formula for annualizing</w:t>
      </w:r>
    </w:p>
    <w:p>
      <w:pPr>
        <w:autoSpaceDN w:val="0"/>
        <w:autoSpaceDE w:val="0"/>
        <w:widowControl/>
        <w:spacing w:line="240" w:lineRule="auto" w:before="186" w:after="22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returns based on different time periods: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313"/>
        <w:gridCol w:w="3313"/>
        <w:gridCol w:w="3313"/>
      </w:tblGrid>
      <w:tr>
        <w:trPr>
          <w:trHeight w:hRule="exact" w:val="606"/>
        </w:trPr>
        <w:tc>
          <w:tcPr>
            <w:tcW w:type="dxa" w:w="2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4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/>
                <w:i w:val="0"/>
                <w:color w:val="444444"/>
                <w:sz w:val="20"/>
              </w:rPr>
              <w:t>Annualized Return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=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6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(1 +</w:t>
            </w:r>
          </w:p>
        </w:tc>
        <w:tc>
          <w:tcPr>
            <w:tcW w:type="dxa" w:w="5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80" w:val="left"/>
                <w:tab w:pos="1440" w:val="left"/>
                <w:tab w:pos="1540" w:val="left"/>
                <w:tab w:pos="1940" w:val="left"/>
                <w:tab w:pos="2660" w:val="left"/>
              </w:tabs>
              <w:autoSpaceDE w:val="0"/>
              <w:widowControl/>
              <w:spacing w:line="245" w:lineRule="auto" w:before="60" w:after="0"/>
              <w:ind w:left="40" w:right="2016" w:firstLine="0"/>
              <w:jc w:val="left"/>
            </w:pPr>
            <w:r>
              <w:tab/>
            </w:r>
            <w:r>
              <w:tab/>
            </w:r>
            <w:r>
              <w:tab/>
            </w:r>
            <w:r>
              <w:tab/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2"/>
              </w:rPr>
              <w:t xml:space="preserve">365 </w:t>
            </w:r>
            <w:r>
              <w:br/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 xml:space="preserve">Return Since Issuance 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) 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2"/>
              </w:rPr>
              <w:t>Time Since Issuance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−1 </w:t>
            </w:r>
            <w:r>
              <w:tab/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100</w:t>
            </w:r>
          </w:p>
        </w:tc>
      </w:tr>
    </w:tbl>
    <w:p>
      <w:pPr>
        <w:autoSpaceDN w:val="0"/>
        <w:autoSpaceDE w:val="0"/>
        <w:widowControl/>
        <w:spacing w:line="240" w:lineRule="auto" w:before="240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Let's calculate the annualized returns for both bonds:</w:t>
      </w:r>
    </w:p>
    <w:p>
      <w:pPr>
        <w:autoSpaceDN w:val="0"/>
        <w:autoSpaceDE w:val="0"/>
        <w:widowControl/>
        <w:spacing w:line="240" w:lineRule="auto" w:before="384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444444"/>
          <w:sz w:val="20"/>
        </w:rPr>
        <w:t>For Bond A:</w:t>
      </w:r>
    </w:p>
    <w:p>
      <w:pPr>
        <w:autoSpaceDN w:val="0"/>
        <w:autoSpaceDE w:val="0"/>
        <w:widowControl/>
        <w:spacing w:line="240" w:lineRule="auto" w:before="38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Time Since Issuance = 120 days</w:t>
      </w:r>
    </w:p>
    <w:p>
      <w:pPr>
        <w:autoSpaceDN w:val="0"/>
        <w:autoSpaceDE w:val="0"/>
        <w:widowControl/>
        <w:spacing w:line="240" w:lineRule="auto" w:before="38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Return Since Issuance = 2.50%</w:t>
      </w:r>
    </w:p>
    <w:p>
      <w:pPr>
        <w:autoSpaceDN w:val="0"/>
        <w:autoSpaceDE w:val="0"/>
        <w:widowControl/>
        <w:spacing w:line="238" w:lineRule="auto" w:before="260" w:after="0"/>
        <w:ind w:left="0" w:right="5492" w:firstLine="0"/>
        <w:jc w:val="right"/>
      </w:pPr>
      <w:r>
        <w:rPr>
          <w:rFonts w:ascii="DejaVu Serif" w:hAnsi="DejaVu Serif" w:eastAsia="DejaVu Serif"/>
          <w:b w:val="0"/>
          <w:i w:val="0"/>
          <w:color w:val="282D35"/>
          <w:sz w:val="12"/>
          <w:u w:val="single"/>
        </w:rPr>
        <w:t>365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988"/>
        <w:gridCol w:w="1988"/>
        <w:gridCol w:w="1988"/>
        <w:gridCol w:w="1988"/>
        <w:gridCol w:w="1988"/>
      </w:tblGrid>
      <w:tr>
        <w:trPr>
          <w:trHeight w:hRule="exact" w:val="472"/>
        </w:trPr>
        <w:tc>
          <w:tcPr>
            <w:tcW w:type="dxa" w:w="3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6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Annualized Return for Bond A = </w:t>
            </w:r>
          </w:p>
          <w:p>
            <w:pPr>
              <w:autoSpaceDN w:val="0"/>
              <w:autoSpaceDE w:val="0"/>
              <w:widowControl/>
              <w:spacing w:line="240" w:lineRule="auto" w:before="386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Annualized Return for Bond A =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6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(1 +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2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  <w:u w:val="single"/>
              </w:rPr>
              <w:t xml:space="preserve">2.50 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)</w:t>
            </w:r>
          </w:p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100</w:t>
            </w:r>
          </w:p>
        </w:tc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2"/>
              </w:rPr>
              <w:t>120</w:t>
            </w:r>
          </w:p>
        </w:tc>
        <w:tc>
          <w:tcPr>
            <w:tcW w:type="dxa" w:w="3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6" w:after="0"/>
              <w:ind w:left="4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−1</w:t>
            </w:r>
          </w:p>
        </w:tc>
      </w:tr>
      <w:tr>
        <w:trPr>
          <w:trHeight w:hRule="exact" w:val="468"/>
        </w:trPr>
        <w:tc>
          <w:tcPr>
            <w:tcW w:type="dxa" w:w="1988"/>
            <w:vMerge/>
            <w:tcBorders/>
          </w:tcPr>
          <w:p/>
        </w:tc>
        <w:tc>
          <w:tcPr>
            <w:tcW w:type="dxa" w:w="43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3" w:lineRule="auto" w:before="130" w:after="0"/>
              <w:ind w:left="2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(1 + 0.025)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3.0417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−1</w:t>
            </w:r>
          </w:p>
        </w:tc>
      </w:tr>
    </w:tbl>
    <w:p>
      <w:pPr>
        <w:autoSpaceDN w:val="0"/>
        <w:autoSpaceDE w:val="0"/>
        <w:widowControl/>
        <w:spacing w:line="240" w:lineRule="auto" w:before="32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Annualized Return for Bond A = 1.079847 - 1 = 0.079847 or 7.98%</w:t>
      </w:r>
    </w:p>
    <w:p>
      <w:pPr>
        <w:autoSpaceDN w:val="0"/>
        <w:autoSpaceDE w:val="0"/>
        <w:widowControl/>
        <w:spacing w:line="240" w:lineRule="auto" w:before="384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444444"/>
          <w:sz w:val="20"/>
        </w:rPr>
        <w:t>For Bond B:</w:t>
      </w:r>
    </w:p>
    <w:p>
      <w:pPr>
        <w:autoSpaceDN w:val="0"/>
        <w:autoSpaceDE w:val="0"/>
        <w:widowControl/>
        <w:spacing w:line="240" w:lineRule="auto" w:before="38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Time Since Issuance = 8 months = 240 days</w:t>
      </w:r>
    </w:p>
    <w:p>
      <w:pPr>
        <w:autoSpaceDN w:val="0"/>
        <w:autoSpaceDE w:val="0"/>
        <w:widowControl/>
        <w:spacing w:line="240" w:lineRule="auto" w:before="38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Return Since Issuance = 6.00%</w:t>
      </w:r>
    </w:p>
    <w:p>
      <w:pPr>
        <w:autoSpaceDN w:val="0"/>
        <w:autoSpaceDE w:val="0"/>
        <w:widowControl/>
        <w:spacing w:line="238" w:lineRule="auto" w:before="260" w:after="2"/>
        <w:ind w:left="0" w:right="5492" w:firstLine="0"/>
        <w:jc w:val="right"/>
      </w:pPr>
      <w:r>
        <w:rPr>
          <w:rFonts w:ascii="DejaVu Serif" w:hAnsi="DejaVu Serif" w:eastAsia="DejaVu Serif"/>
          <w:b w:val="0"/>
          <w:i w:val="0"/>
          <w:color w:val="282D35"/>
          <w:sz w:val="12"/>
          <w:u w:val="single"/>
        </w:rPr>
        <w:t>365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988"/>
        <w:gridCol w:w="1988"/>
        <w:gridCol w:w="1988"/>
        <w:gridCol w:w="1988"/>
        <w:gridCol w:w="1988"/>
      </w:tblGrid>
      <w:tr>
        <w:trPr>
          <w:trHeight w:hRule="exact" w:val="470"/>
        </w:trPr>
        <w:tc>
          <w:tcPr>
            <w:tcW w:type="dxa" w:w="3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Annualized Return for Bond B = </w:t>
            </w:r>
          </w:p>
          <w:p>
            <w:pPr>
              <w:autoSpaceDN w:val="0"/>
              <w:autoSpaceDE w:val="0"/>
              <w:widowControl/>
              <w:spacing w:line="240" w:lineRule="auto" w:before="386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Annualized Return for Bond B =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(1 +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  <w:u w:val="single"/>
              </w:rPr>
              <w:t xml:space="preserve">6.00 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)</w:t>
            </w:r>
          </w:p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100</w:t>
            </w:r>
          </w:p>
        </w:tc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8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2"/>
              </w:rPr>
              <w:t>240</w:t>
            </w:r>
          </w:p>
        </w:tc>
        <w:tc>
          <w:tcPr>
            <w:tcW w:type="dxa" w:w="3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4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−1</w:t>
            </w:r>
          </w:p>
        </w:tc>
      </w:tr>
      <w:tr>
        <w:trPr>
          <w:trHeight w:hRule="exact" w:val="468"/>
        </w:trPr>
        <w:tc>
          <w:tcPr>
            <w:tcW w:type="dxa" w:w="1988"/>
            <w:vMerge/>
            <w:tcBorders/>
          </w:tcPr>
          <w:p/>
        </w:tc>
        <w:tc>
          <w:tcPr>
            <w:tcW w:type="dxa" w:w="424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3" w:lineRule="auto" w:before="130" w:after="0"/>
              <w:ind w:left="2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(1 + 0.06)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1.5208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−1</w:t>
            </w:r>
          </w:p>
        </w:tc>
      </w:tr>
    </w:tbl>
    <w:p>
      <w:pPr>
        <w:autoSpaceDN w:val="0"/>
        <w:autoSpaceDE w:val="0"/>
        <w:widowControl/>
        <w:spacing w:line="240" w:lineRule="auto" w:before="32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Annualized Return for Bond B = 1.092751 - 1 = 0.092751 or 9.28%</w:t>
      </w:r>
    </w:p>
    <w:p>
      <w:pPr>
        <w:autoSpaceDN w:val="0"/>
        <w:autoSpaceDE w:val="0"/>
        <w:widowControl/>
        <w:spacing w:line="240" w:lineRule="auto" w:before="38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Comparing the annualized returns:</w:t>
      </w:r>
    </w:p>
    <w:p>
      <w:pPr>
        <w:autoSpaceDN w:val="0"/>
        <w:autoSpaceDE w:val="0"/>
        <w:widowControl/>
        <w:spacing w:line="240" w:lineRule="auto" w:before="38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Bond A has an annualized return of approximately 7.98%.</w:t>
      </w:r>
    </w:p>
    <w:p>
      <w:pPr>
        <w:autoSpaceDN w:val="0"/>
        <w:autoSpaceDE w:val="0"/>
        <w:widowControl/>
        <w:spacing w:line="238" w:lineRule="auto" w:before="424" w:after="0"/>
        <w:ind w:left="0" w:right="0" w:firstLine="0"/>
        <w:jc w:val="center"/>
      </w:pPr>
      <w:r>
        <w:rPr>
          <w:rFonts w:ascii="DejaVu Serif" w:hAnsi="DejaVu Serif" w:eastAsia="DejaVu Serif"/>
          <w:b w:val="0"/>
          <w:i w:val="0"/>
          <w:color w:val="000000"/>
          <w:sz w:val="18"/>
        </w:rPr>
        <w:t>23</w:t>
      </w:r>
    </w:p>
    <w:p>
      <w:pPr>
        <w:autoSpaceDN w:val="0"/>
        <w:autoSpaceDE w:val="0"/>
        <w:widowControl/>
        <w:spacing w:line="240" w:lineRule="auto" w:before="88" w:after="0"/>
        <w:ind w:left="0" w:right="28" w:firstLine="0"/>
        <w:jc w:val="right"/>
      </w:pPr>
      <w:r>
        <w:rPr>
          <w:rFonts w:ascii="DejaVu Serif" w:hAnsi="DejaVu Serif" w:eastAsia="DejaVu Serif"/>
          <w:b w:val="0"/>
          <w:i w:val="0"/>
          <w:color w:val="282D35"/>
          <w:sz w:val="14"/>
        </w:rPr>
        <w:t>© 2014-2024 AnalystPrep.</w:t>
      </w:r>
    </w:p>
    <w:p>
      <w:pPr>
        <w:sectPr>
          <w:pgSz w:w="12240" w:h="15840"/>
          <w:pgMar w:top="580" w:right="1140" w:bottom="320" w:left="11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06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Bond B has an annualized return of approximately 9.28%.</w:t>
      </w:r>
    </w:p>
    <w:p>
      <w:pPr>
        <w:autoSpaceDN w:val="0"/>
        <w:autoSpaceDE w:val="0"/>
        <w:widowControl/>
        <w:spacing w:line="240" w:lineRule="auto" w:before="38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Therefore, Bond B has a higher annualized rate of return compared to Bond A.</w:t>
      </w:r>
    </w:p>
    <w:p>
      <w:pPr>
        <w:autoSpaceDN w:val="0"/>
        <w:autoSpaceDE w:val="0"/>
        <w:widowControl/>
        <w:spacing w:line="240" w:lineRule="auto" w:before="690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282D35"/>
          <w:sz w:val="28"/>
        </w:rPr>
        <w:t>Continuously Compounded Returns</w:t>
      </w:r>
    </w:p>
    <w:p>
      <w:pPr>
        <w:autoSpaceDN w:val="0"/>
        <w:autoSpaceDE w:val="0"/>
        <w:widowControl/>
        <w:spacing w:line="365" w:lineRule="auto" w:before="628" w:after="326"/>
        <w:ind w:left="0" w:right="22" w:firstLine="0"/>
        <w:jc w:val="both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The continuously compounded return is calculated by taking the natural logarithm of one plus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the holding period return. For example, if the monthly return is 1.2%, you'd calculate it as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ln(1.012), which equals approximately 0.01192.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420"/>
        <w:gridCol w:w="1420"/>
        <w:gridCol w:w="1420"/>
        <w:gridCol w:w="1420"/>
        <w:gridCol w:w="1420"/>
        <w:gridCol w:w="1420"/>
        <w:gridCol w:w="1420"/>
      </w:tblGrid>
      <w:tr>
        <w:trPr>
          <w:trHeight w:hRule="exact" w:val="526"/>
        </w:trPr>
        <w:tc>
          <w:tcPr>
            <w:tcW w:type="dxa" w:w="52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6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Generally, continuously compounded from  to 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t + 1</w:t>
            </w:r>
          </w:p>
        </w:tc>
        <w:tc>
          <w:tcPr>
            <w:tcW w:type="dxa" w:w="1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12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is given by:</w:t>
            </w:r>
          </w:p>
        </w:tc>
        <w:tc>
          <w:tcPr>
            <w:tcW w:type="dxa" w:w="520"/>
            <w:vMerge w:val="restart"/>
            <w:tcBorders>
              <w:bottom w:sz="8.0" w:val="single" w:color="#282D3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360"/>
            <w:vMerge w:val="restart"/>
            <w:tcBorders>
              <w:bottom w:sz="8.0" w:val="single" w:color="#282D3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30"/>
        </w:trPr>
        <w:tc>
          <w:tcPr>
            <w:tcW w:type="dxa" w:w="4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394" w:after="0"/>
              <w:ind w:left="0" w:right="22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r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t,t+1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= ln(</w:t>
            </w:r>
          </w:p>
        </w:tc>
        <w:tc>
          <w:tcPr>
            <w:tcW w:type="dxa" w:w="40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234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P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t+1</w:t>
            </w:r>
          </w:p>
        </w:tc>
        <w:tc>
          <w:tcPr>
            <w:tcW w:type="dxa" w:w="2180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394" w:after="0"/>
              <w:ind w:left="2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) = ln (1 + R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t,t+1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)</w:t>
            </w:r>
          </w:p>
        </w:tc>
        <w:tc>
          <w:tcPr>
            <w:tcW w:type="dxa" w:w="1420"/>
            <w:vMerge/>
            <w:tcBorders>
              <w:bottom w:sz="8.0" w:val="single" w:color="#282D35"/>
            </w:tcBorders>
          </w:tcPr>
          <w:p/>
        </w:tc>
        <w:tc>
          <w:tcPr>
            <w:tcW w:type="dxa" w:w="1420"/>
            <w:vMerge/>
            <w:tcBorders>
              <w:bottom w:sz="8.0" w:val="single" w:color="#282D35"/>
            </w:tcBorders>
          </w:tcPr>
          <w:p/>
        </w:tc>
      </w:tr>
      <w:tr>
        <w:trPr>
          <w:trHeight w:hRule="exact" w:val="490"/>
        </w:trPr>
        <w:tc>
          <w:tcPr>
            <w:tcW w:type="dxa" w:w="1420"/>
            <w:vMerge/>
            <w:tcBorders/>
          </w:tcPr>
          <w:p/>
        </w:tc>
        <w:tc>
          <w:tcPr>
            <w:tcW w:type="dxa" w:w="40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4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P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t</w:t>
            </w:r>
          </w:p>
        </w:tc>
        <w:tc>
          <w:tcPr>
            <w:tcW w:type="dxa" w:w="4260"/>
            <w:gridSpan w:val="3"/>
            <w:vMerge/>
            <w:tcBorders/>
          </w:tcPr>
          <w:p/>
        </w:tc>
        <w:tc>
          <w:tcPr>
            <w:tcW w:type="dxa" w:w="520"/>
            <w:vMerge w:val="restart"/>
            <w:tcBorders>
              <w:top w:sz="8.0" w:val="single" w:color="#282D3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14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t = T</w:t>
            </w:r>
          </w:p>
        </w:tc>
        <w:tc>
          <w:tcPr>
            <w:tcW w:type="dxa" w:w="2360"/>
            <w:vMerge w:val="restart"/>
            <w:tcBorders>
              <w:top w:sz="8.0" w:val="single" w:color="#282D3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14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then the continuously</w:t>
            </w:r>
          </w:p>
        </w:tc>
      </w:tr>
      <w:tr>
        <w:trPr>
          <w:trHeight w:hRule="exact" w:val="548"/>
        </w:trPr>
        <w:tc>
          <w:tcPr>
            <w:tcW w:type="dxa" w:w="56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34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Assume now that the investment horizon is from time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234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t = 0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to time </w:t>
            </w:r>
          </w:p>
        </w:tc>
        <w:tc>
          <w:tcPr>
            <w:tcW w:type="dxa" w:w="1420"/>
            <w:vMerge/>
            <w:tcBorders>
              <w:top w:sz="8.0" w:val="single" w:color="#282D35"/>
            </w:tcBorders>
          </w:tcPr>
          <w:p/>
        </w:tc>
        <w:tc>
          <w:tcPr>
            <w:tcW w:type="dxa" w:w="1420"/>
            <w:vMerge/>
            <w:tcBorders>
              <w:top w:sz="8.0" w:val="single" w:color="#282D35"/>
            </w:tcBorders>
          </w:tcPr>
          <w:p/>
        </w:tc>
      </w:tr>
    </w:tbl>
    <w:p>
      <w:pPr>
        <w:autoSpaceDN w:val="0"/>
        <w:autoSpaceDE w:val="0"/>
        <w:widowControl/>
        <w:spacing w:line="240" w:lineRule="auto" w:before="106" w:after="406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compounded return is given by: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140.0" w:type="dxa"/>
      </w:tblPr>
      <w:tblGrid>
        <w:gridCol w:w="3313"/>
        <w:gridCol w:w="3313"/>
        <w:gridCol w:w="3313"/>
      </w:tblGrid>
      <w:tr>
        <w:trPr>
          <w:trHeight w:hRule="exact" w:val="356"/>
        </w:trPr>
        <w:tc>
          <w:tcPr>
            <w:tcW w:type="dxa" w:w="310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92" w:after="0"/>
              <w:ind w:left="0" w:right="22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r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ln(</w:t>
            </w:r>
          </w:p>
        </w:tc>
        <w:tc>
          <w:tcPr>
            <w:tcW w:type="dxa" w:w="28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6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P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T</w:t>
            </w:r>
          </w:p>
        </w:tc>
        <w:tc>
          <w:tcPr>
            <w:tcW w:type="dxa" w:w="224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2" w:after="0"/>
              <w:ind w:left="2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)</w:t>
            </w:r>
          </w:p>
        </w:tc>
      </w:tr>
      <w:tr>
        <w:trPr>
          <w:trHeight w:hRule="exact" w:val="324"/>
        </w:trPr>
        <w:tc>
          <w:tcPr>
            <w:tcW w:type="dxa" w:w="310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0" w:right="374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0,T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=</w:t>
            </w:r>
          </w:p>
        </w:tc>
        <w:tc>
          <w:tcPr>
            <w:tcW w:type="dxa" w:w="28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4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P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0</w:t>
            </w:r>
          </w:p>
        </w:tc>
        <w:tc>
          <w:tcPr>
            <w:tcW w:type="dxa" w:w="224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400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If we apply the exponential function on both sides of the equation, we have the following:</w:t>
      </w:r>
    </w:p>
    <w:p>
      <w:pPr>
        <w:autoSpaceDN w:val="0"/>
        <w:autoSpaceDE w:val="0"/>
        <w:widowControl/>
        <w:spacing w:line="283" w:lineRule="auto" w:before="422" w:after="302"/>
        <w:ind w:left="0" w:right="0" w:firstLine="0"/>
        <w:jc w:val="center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P</w:t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T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 = P</w:t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0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e</w:t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r</w:t>
      </w:r>
      <w:r>
        <w:rPr>
          <w:rFonts w:ascii="DejaVu Serif" w:hAnsi="DejaVu Serif" w:eastAsia="DejaVu Serif"/>
          <w:b w:val="0"/>
          <w:i w:val="0"/>
          <w:color w:val="282D35"/>
          <w:sz w:val="12"/>
        </w:rPr>
        <w:t>0,T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4"/>
        <w:gridCol w:w="904"/>
        <w:gridCol w:w="904"/>
        <w:gridCol w:w="904"/>
        <w:gridCol w:w="904"/>
        <w:gridCol w:w="904"/>
        <w:gridCol w:w="904"/>
        <w:gridCol w:w="904"/>
        <w:gridCol w:w="904"/>
        <w:gridCol w:w="904"/>
        <w:gridCol w:w="904"/>
      </w:tblGrid>
      <w:tr>
        <w:trPr>
          <w:trHeight w:hRule="exact" w:val="280"/>
        </w:trPr>
        <w:tc>
          <w:tcPr>
            <w:tcW w:type="dxa" w:w="106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6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Note that </w:t>
            </w:r>
          </w:p>
        </w:tc>
        <w:tc>
          <w:tcPr>
            <w:tcW w:type="dxa" w:w="20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9" w:lineRule="auto" w:before="52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P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2"/>
              </w:rPr>
              <w:t>T</w:t>
            </w:r>
          </w:p>
        </w:tc>
        <w:tc>
          <w:tcPr>
            <w:tcW w:type="dxa" w:w="238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6" w:after="0"/>
              <w:ind w:left="24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can be written as:</w:t>
            </w:r>
          </w:p>
        </w:tc>
        <w:tc>
          <w:tcPr>
            <w:tcW w:type="dxa" w:w="28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0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0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860"/>
        </w:trPr>
        <w:tc>
          <w:tcPr>
            <w:tcW w:type="dxa" w:w="1060"/>
            <w:tcBorders>
              <w:top w:sz="8.0" w:val="single" w:color="#282D35"/>
              <w:bottom w:sz="8.0" w:val="single" w:color="#282D3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0"/>
            <w:tcBorders>
              <w:top w:sz="8.0" w:val="single" w:color="#282D35"/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auto" w:before="1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P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2"/>
              </w:rPr>
              <w:t>0</w:t>
            </w:r>
          </w:p>
        </w:tc>
        <w:tc>
          <w:tcPr>
            <w:tcW w:type="dxa" w:w="2380"/>
            <w:tcBorders>
              <w:top w:sz="8.0" w:val="single" w:color="#282D35"/>
              <w:bottom w:sz="8.0" w:val="single" w:color="#282D3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80"/>
            <w:tcBorders>
              <w:top w:sz="8.0" w:val="single" w:color="#282D35"/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554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P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T</w:t>
            </w:r>
          </w:p>
        </w:tc>
        <w:tc>
          <w:tcPr>
            <w:tcW w:type="dxa" w:w="400"/>
            <w:tcBorders>
              <w:top w:sz="8.0" w:val="single" w:color="#282D35"/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586" w:after="0"/>
              <w:ind w:left="0" w:right="22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(</w:t>
            </w:r>
          </w:p>
        </w:tc>
        <w:tc>
          <w:tcPr>
            <w:tcW w:type="dxa" w:w="460"/>
            <w:tcBorders>
              <w:top w:sz="8.0" w:val="single" w:color="#282D35"/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554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P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T</w:t>
            </w:r>
          </w:p>
        </w:tc>
        <w:tc>
          <w:tcPr>
            <w:tcW w:type="dxa" w:w="240"/>
            <w:tcBorders>
              <w:top w:sz="8.0" w:val="single" w:color="#282D35"/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6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) (</w:t>
            </w:r>
          </w:p>
        </w:tc>
        <w:tc>
          <w:tcPr>
            <w:tcW w:type="dxa" w:w="460"/>
            <w:tcBorders>
              <w:top w:sz="8.0" w:val="single" w:color="#282D35"/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554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P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T−1</w:t>
            </w:r>
          </w:p>
        </w:tc>
        <w:tc>
          <w:tcPr>
            <w:tcW w:type="dxa" w:w="460"/>
            <w:tcBorders>
              <w:top w:sz="8.0" w:val="single" w:color="#282D35"/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6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) …(</w:t>
            </w:r>
          </w:p>
        </w:tc>
        <w:tc>
          <w:tcPr>
            <w:tcW w:type="dxa" w:w="260"/>
            <w:tcBorders>
              <w:top w:sz="8.0" w:val="single" w:color="#282D35"/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554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P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1</w:t>
            </w:r>
          </w:p>
        </w:tc>
        <w:tc>
          <w:tcPr>
            <w:tcW w:type="dxa" w:w="1900"/>
            <w:tcBorders>
              <w:top w:sz="8.0" w:val="single" w:color="#282D35"/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6" w:after="0"/>
              <w:ind w:left="2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)</w:t>
            </w:r>
          </w:p>
        </w:tc>
      </w:tr>
      <w:tr>
        <w:trPr>
          <w:trHeight w:hRule="exact" w:val="324"/>
        </w:trPr>
        <w:tc>
          <w:tcPr>
            <w:tcW w:type="dxa" w:w="106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38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8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4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P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0</w:t>
            </w:r>
          </w:p>
        </w:tc>
        <w:tc>
          <w:tcPr>
            <w:tcW w:type="dxa" w:w="40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=</w:t>
            </w:r>
          </w:p>
        </w:tc>
        <w:tc>
          <w:tcPr>
            <w:tcW w:type="dxa" w:w="46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P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T −1</w:t>
            </w:r>
          </w:p>
        </w:tc>
        <w:tc>
          <w:tcPr>
            <w:tcW w:type="dxa" w:w="24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P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T−2</w:t>
            </w:r>
          </w:p>
        </w:tc>
        <w:tc>
          <w:tcPr>
            <w:tcW w:type="dxa" w:w="46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4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P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0</w:t>
            </w:r>
          </w:p>
        </w:tc>
        <w:tc>
          <w:tcPr>
            <w:tcW w:type="dxa" w:w="190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400" w:after="406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If we take natural logarithm on both sides of the above equation: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20.0" w:type="dxa"/>
      </w:tblPr>
      <w:tblGrid>
        <w:gridCol w:w="3313"/>
        <w:gridCol w:w="3313"/>
        <w:gridCol w:w="3313"/>
      </w:tblGrid>
      <w:tr>
        <w:trPr>
          <w:trHeight w:hRule="exact" w:val="336"/>
        </w:trPr>
        <w:tc>
          <w:tcPr>
            <w:tcW w:type="dxa" w:w="536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60.0" w:type="dxa"/>
            </w:tblPr>
            <w:tblGrid>
              <w:gridCol w:w="766"/>
              <w:gridCol w:w="766"/>
              <w:gridCol w:w="766"/>
              <w:gridCol w:w="766"/>
              <w:gridCol w:w="766"/>
              <w:gridCol w:w="766"/>
              <w:gridCol w:w="766"/>
            </w:tblGrid>
            <w:tr>
              <w:trPr>
                <w:trHeight w:hRule="exact" w:val="346"/>
              </w:trPr>
              <w:tc>
                <w:tcPr>
                  <w:tcW w:type="dxa" w:w="9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32" w:after="0"/>
                    <w:ind w:left="0" w:right="2" w:firstLine="0"/>
                    <w:jc w:val="right"/>
                  </w:pPr>
                  <w:r>
                    <w:rPr>
                      <w:rFonts w:ascii="DejaVu Serif" w:hAnsi="DejaVu Serif" w:eastAsia="DejaVu Serif"/>
                      <w:b w:val="0"/>
                      <w:i w:val="0"/>
                      <w:color w:val="282D35"/>
                      <w:sz w:val="20"/>
                    </w:rPr>
                    <w:t>ln(</w:t>
                  </w:r>
                </w:p>
              </w:tc>
              <w:tc>
                <w:tcPr>
                  <w:tcW w:type="dxa" w:w="2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30" w:after="0"/>
                    <w:ind w:left="0" w:right="0" w:firstLine="0"/>
                    <w:jc w:val="center"/>
                  </w:pPr>
                  <w:r>
                    <w:rPr>
                      <w:rFonts w:ascii="DejaVu Serif" w:hAnsi="DejaVu Serif" w:eastAsia="DejaVu Serif"/>
                      <w:b w:val="0"/>
                      <w:i w:val="0"/>
                      <w:color w:val="282D35"/>
                      <w:sz w:val="20"/>
                    </w:rPr>
                    <w:t>P</w:t>
                  </w:r>
                  <w:r>
                    <w:rPr>
                      <w:rFonts w:ascii="DejaVu Serif" w:hAnsi="DejaVu Serif" w:eastAsia="DejaVu Serif"/>
                      <w:b w:val="0"/>
                      <w:i w:val="0"/>
                      <w:color w:val="282D35"/>
                      <w:sz w:val="14"/>
                    </w:rPr>
                    <w:t>T</w:t>
                  </w:r>
                </w:p>
              </w:tc>
              <w:tc>
                <w:tcPr>
                  <w:tcW w:type="dxa" w:w="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112" w:after="0"/>
                    <w:ind w:left="0" w:right="0" w:firstLine="0"/>
                    <w:jc w:val="center"/>
                  </w:pPr>
                  <w:r>
                    <w:rPr>
                      <w:rFonts w:ascii="DejaVu Serif" w:hAnsi="DejaVu Serif" w:eastAsia="DejaVu Serif"/>
                      <w:b w:val="0"/>
                      <w:i w:val="0"/>
                      <w:color w:val="282D35"/>
                      <w:sz w:val="20"/>
                    </w:rPr>
                    <w:t>)  ln(</w:t>
                  </w:r>
                </w:p>
              </w:tc>
              <w:tc>
                <w:tcPr>
                  <w:tcW w:type="dxa" w:w="3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30" w:after="0"/>
                    <w:ind w:left="0" w:right="0" w:firstLine="0"/>
                    <w:jc w:val="center"/>
                  </w:pPr>
                  <w:r>
                    <w:rPr>
                      <w:rFonts w:ascii="DejaVu Serif" w:hAnsi="DejaVu Serif" w:eastAsia="DejaVu Serif"/>
                      <w:b w:val="0"/>
                      <w:i w:val="0"/>
                      <w:color w:val="282D35"/>
                      <w:sz w:val="20"/>
                    </w:rPr>
                    <w:t>P</w:t>
                  </w:r>
                  <w:r>
                    <w:rPr>
                      <w:rFonts w:ascii="DejaVu Serif" w:hAnsi="DejaVu Serif" w:eastAsia="DejaVu Serif"/>
                      <w:b w:val="0"/>
                      <w:i w:val="0"/>
                      <w:color w:val="282D35"/>
                      <w:sz w:val="14"/>
                    </w:rPr>
                    <w:t>T</w:t>
                  </w:r>
                </w:p>
              </w:tc>
              <w:tc>
                <w:tcPr>
                  <w:tcW w:type="dxa" w:w="7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32" w:after="0"/>
                    <w:ind w:left="0" w:right="0" w:firstLine="0"/>
                    <w:jc w:val="center"/>
                  </w:pPr>
                  <w:r>
                    <w:rPr>
                      <w:rFonts w:ascii="DejaVu Serif" w:hAnsi="DejaVu Serif" w:eastAsia="DejaVu Serif"/>
                      <w:b w:val="0"/>
                      <w:i w:val="0"/>
                      <w:color w:val="282D35"/>
                      <w:sz w:val="20"/>
                    </w:rPr>
                    <w:t>) + ln(</w:t>
                  </w:r>
                </w:p>
              </w:tc>
              <w:tc>
                <w:tcPr>
                  <w:tcW w:type="dxa" w:w="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30" w:after="0"/>
                    <w:ind w:left="0" w:right="0" w:firstLine="0"/>
                    <w:jc w:val="center"/>
                  </w:pPr>
                  <w:r>
                    <w:rPr>
                      <w:rFonts w:ascii="DejaVu Serif" w:hAnsi="DejaVu Serif" w:eastAsia="DejaVu Serif"/>
                      <w:b w:val="0"/>
                      <w:i w:val="0"/>
                      <w:color w:val="282D35"/>
                      <w:sz w:val="20"/>
                    </w:rPr>
                    <w:t>P</w:t>
                  </w:r>
                  <w:r>
                    <w:rPr>
                      <w:rFonts w:ascii="DejaVu Serif" w:hAnsi="DejaVu Serif" w:eastAsia="DejaVu Serif"/>
                      <w:b w:val="0"/>
                      <w:i w:val="0"/>
                      <w:color w:val="282D35"/>
                      <w:sz w:val="14"/>
                    </w:rPr>
                    <w:t>T −1</w:t>
                  </w:r>
                </w:p>
              </w:tc>
              <w:tc>
                <w:tcPr>
                  <w:tcW w:type="dxa" w:w="11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112" w:after="0"/>
                    <w:ind w:left="0" w:right="0" w:firstLine="0"/>
                    <w:jc w:val="center"/>
                  </w:pPr>
                  <w:r>
                    <w:rPr>
                      <w:rFonts w:ascii="DejaVu Serif" w:hAnsi="DejaVu Serif" w:eastAsia="DejaVu Serif"/>
                      <w:b w:val="0"/>
                      <w:i w:val="0"/>
                      <w:color w:val="282D35"/>
                      <w:sz w:val="20"/>
                    </w:rPr>
                    <w:t>) +  + ln(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4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6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P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1</w:t>
            </w:r>
          </w:p>
        </w:tc>
        <w:tc>
          <w:tcPr>
            <w:tcW w:type="dxa" w:w="156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4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)</w:t>
            </w:r>
          </w:p>
        </w:tc>
      </w:tr>
      <w:tr>
        <w:trPr>
          <w:trHeight w:hRule="exact" w:val="584"/>
        </w:trPr>
        <w:tc>
          <w:tcPr>
            <w:tcW w:type="dxa" w:w="536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580" w:val="left"/>
              </w:tabs>
              <w:autoSpaceDE w:val="0"/>
              <w:widowControl/>
              <w:spacing w:line="240" w:lineRule="auto" w:before="0" w:after="0"/>
              <w:ind w:left="208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=</w:t>
            </w:r>
            <w:r>
              <w:tab/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…</w:t>
            </w:r>
          </w:p>
          <w:p>
            <w:pPr>
              <w:autoSpaceDN w:val="0"/>
              <w:tabs>
                <w:tab w:pos="2620" w:val="left"/>
                <w:tab w:pos="3760" w:val="left"/>
              </w:tabs>
              <w:autoSpaceDE w:val="0"/>
              <w:widowControl/>
              <w:spacing w:line="266" w:lineRule="auto" w:before="0" w:after="0"/>
              <w:ind w:left="166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P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 xml:space="preserve">0 </w:t>
            </w:r>
            <w:r>
              <w:tab/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P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 xml:space="preserve">T−1 </w:t>
            </w:r>
            <w:r>
              <w:tab/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P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T −2</w:t>
            </w:r>
          </w:p>
          <w:p>
            <w:pPr>
              <w:autoSpaceDN w:val="0"/>
              <w:autoSpaceDE w:val="0"/>
              <w:widowControl/>
              <w:spacing w:line="286" w:lineRule="auto" w:before="0" w:after="0"/>
              <w:ind w:left="0" w:right="412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⇒r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0,T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= r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T−1,T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+ r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T −2,T −1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+ … + r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0,1</w:t>
            </w:r>
          </w:p>
        </w:tc>
        <w:tc>
          <w:tcPr>
            <w:tcW w:type="dxa" w:w="24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4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P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0</w:t>
            </w:r>
          </w:p>
        </w:tc>
        <w:tc>
          <w:tcPr>
            <w:tcW w:type="dxa" w:w="156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tabs>
          <w:tab w:pos="8020" w:val="left"/>
        </w:tabs>
        <w:autoSpaceDE w:val="0"/>
        <w:widowControl/>
        <w:spacing w:line="295" w:lineRule="auto" w:before="958" w:after="0"/>
        <w:ind w:left="4846" w:right="0" w:firstLine="0"/>
        <w:jc w:val="left"/>
      </w:pPr>
      <w:r>
        <w:rPr>
          <w:rFonts w:ascii="DejaVu Serif" w:hAnsi="DejaVu Serif" w:eastAsia="DejaVu Serif"/>
          <w:b w:val="0"/>
          <w:i w:val="0"/>
          <w:color w:val="000000"/>
          <w:sz w:val="18"/>
        </w:rPr>
        <w:t>24</w:t>
      </w:r>
      <w:r>
        <w:br/>
      </w:r>
      <w:r>
        <w:tab/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© 2014-2024 AnalystPrep.</w:t>
      </w:r>
    </w:p>
    <w:p>
      <w:pPr>
        <w:sectPr>
          <w:pgSz w:w="12240" w:h="15840"/>
          <w:pgMar w:top="628" w:right="1140" w:bottom="320" w:left="11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06"/>
        <w:ind w:left="0" w:right="0"/>
      </w:pPr>
    </w:p>
    <w:p>
      <w:pPr>
        <w:autoSpaceDN w:val="0"/>
        <w:autoSpaceDE w:val="0"/>
        <w:widowControl/>
        <w:spacing w:line="334" w:lineRule="auto" w:before="0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Therefore, the continuously compounded return to time T is equivalent to the sum of one-period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continuously compounded returns.</w:t>
      </w:r>
    </w:p>
    <w:p>
      <w:pPr>
        <w:autoSpaceDN w:val="0"/>
        <w:tabs>
          <w:tab w:pos="8020" w:val="left"/>
        </w:tabs>
        <w:autoSpaceDE w:val="0"/>
        <w:widowControl/>
        <w:spacing w:line="295" w:lineRule="auto" w:before="12784" w:after="0"/>
        <w:ind w:left="4846" w:right="0" w:firstLine="0"/>
        <w:jc w:val="left"/>
      </w:pPr>
      <w:r>
        <w:rPr>
          <w:rFonts w:ascii="DejaVu Serif" w:hAnsi="DejaVu Serif" w:eastAsia="DejaVu Serif"/>
          <w:b w:val="0"/>
          <w:i w:val="0"/>
          <w:color w:val="000000"/>
          <w:sz w:val="18"/>
        </w:rPr>
        <w:t>25</w:t>
      </w:r>
      <w:r>
        <w:br/>
      </w:r>
      <w:r>
        <w:tab/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© 2014-2024 AnalystPrep.</w:t>
      </w:r>
    </w:p>
    <w:p>
      <w:pPr>
        <w:sectPr>
          <w:pgSz w:w="12240" w:h="15840"/>
          <w:pgMar w:top="628" w:right="1140" w:bottom="320" w:left="11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6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40.0" w:type="dxa"/>
      </w:tblPr>
      <w:tblGrid>
        <w:gridCol w:w="9940"/>
      </w:tblGrid>
      <w:tr>
        <w:trPr>
          <w:trHeight w:hRule="exact" w:val="1016"/>
        </w:trPr>
        <w:tc>
          <w:tcPr>
            <w:tcW w:type="dxa" w:w="9640"/>
            <w:tcBorders/>
            <w:shd w:fill="f6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74" w:after="0"/>
              <w:ind w:left="440" w:right="0" w:firstLine="0"/>
              <w:jc w:val="left"/>
            </w:pPr>
            <w:r>
              <w:rPr>
                <w:rFonts w:ascii="DejaVu Serif" w:hAnsi="DejaVu Serif" w:eastAsia="DejaVu Serif"/>
                <w:b/>
                <w:i w:val="0"/>
                <w:color w:val="282D35"/>
                <w:sz w:val="24"/>
              </w:rPr>
              <w:t>Question</w:t>
            </w:r>
          </w:p>
        </w:tc>
      </w:tr>
    </w:tbl>
    <w:p>
      <w:pPr>
        <w:autoSpaceDN w:val="0"/>
        <w:autoSpaceDE w:val="0"/>
        <w:widowControl/>
        <w:spacing w:line="35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80.0" w:type="dxa"/>
      </w:tblPr>
      <w:tblGrid>
        <w:gridCol w:w="9940"/>
      </w:tblGrid>
      <w:tr>
        <w:trPr>
          <w:trHeight w:hRule="exact" w:val="354"/>
        </w:trPr>
        <w:tc>
          <w:tcPr>
            <w:tcW w:type="dxa" w:w="9340"/>
            <w:tcBorders/>
            <w:shd w:fill="f6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The weekly return of an investment that produces an annual compounded return of</w:t>
            </w:r>
          </w:p>
        </w:tc>
      </w:tr>
    </w:tbl>
    <w:p>
      <w:pPr>
        <w:autoSpaceDN w:val="0"/>
        <w:autoSpaceDE w:val="0"/>
        <w:widowControl/>
        <w:spacing w:line="240" w:lineRule="auto" w:before="126" w:after="326"/>
        <w:ind w:left="58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23% is closest to: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0.0" w:type="dxa"/>
      </w:tblPr>
      <w:tblGrid>
        <w:gridCol w:w="9940"/>
      </w:tblGrid>
      <w:tr>
        <w:trPr>
          <w:trHeight w:hRule="exact" w:val="354"/>
        </w:trPr>
        <w:tc>
          <w:tcPr>
            <w:tcW w:type="dxa" w:w="5460"/>
            <w:tcBorders/>
            <w:shd w:fill="f6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30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A. 0.40%.</w:t>
            </w:r>
          </w:p>
        </w:tc>
      </w:tr>
    </w:tbl>
    <w:p>
      <w:pPr>
        <w:autoSpaceDN w:val="0"/>
        <w:autoSpaceDE w:val="0"/>
        <w:widowControl/>
        <w:spacing w:line="26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80.0" w:type="dxa"/>
      </w:tblPr>
      <w:tblGrid>
        <w:gridCol w:w="9940"/>
      </w:tblGrid>
      <w:tr>
        <w:trPr>
          <w:trHeight w:hRule="exact" w:val="354"/>
        </w:trPr>
        <w:tc>
          <w:tcPr>
            <w:tcW w:type="dxa" w:w="5460"/>
            <w:tcBorders/>
            <w:shd w:fill="f6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30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B. 0.92%.</w:t>
            </w:r>
          </w:p>
        </w:tc>
      </w:tr>
    </w:tbl>
    <w:p>
      <w:pPr>
        <w:autoSpaceDN w:val="0"/>
        <w:autoSpaceDE w:val="0"/>
        <w:widowControl/>
        <w:spacing w:line="26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80.0" w:type="dxa"/>
      </w:tblPr>
      <w:tblGrid>
        <w:gridCol w:w="9940"/>
      </w:tblGrid>
      <w:tr>
        <w:trPr>
          <w:trHeight w:hRule="exact" w:val="354"/>
        </w:trPr>
        <w:tc>
          <w:tcPr>
            <w:tcW w:type="dxa" w:w="5460"/>
            <w:tcBorders/>
            <w:shd w:fill="f6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30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C. 0.41%.</w:t>
            </w:r>
          </w:p>
        </w:tc>
      </w:tr>
    </w:tbl>
    <w:p>
      <w:pPr>
        <w:autoSpaceDN w:val="0"/>
        <w:autoSpaceDE w:val="0"/>
        <w:widowControl/>
        <w:spacing w:line="26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80.0" w:type="dxa"/>
      </w:tblPr>
      <w:tblGrid>
        <w:gridCol w:w="9940"/>
      </w:tblGrid>
      <w:tr>
        <w:trPr>
          <w:trHeight w:hRule="exact" w:val="356"/>
        </w:trPr>
        <w:tc>
          <w:tcPr>
            <w:tcW w:type="dxa" w:w="6320"/>
            <w:tcBorders/>
            <w:shd w:fill="f6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300" w:right="0" w:firstLine="0"/>
              <w:jc w:val="left"/>
            </w:pPr>
            <w:r>
              <w:rPr>
                <w:rFonts w:ascii="DejaVu Serif" w:hAnsi="DejaVu Serif" w:eastAsia="DejaVu Serif"/>
                <w:b/>
                <w:i w:val="0"/>
                <w:color w:val="444444"/>
                <w:sz w:val="20"/>
              </w:rPr>
              <w:t>The correct answer is A.</w:t>
            </w:r>
          </w:p>
        </w:tc>
      </w:tr>
    </w:tbl>
    <w:p>
      <w:pPr>
        <w:autoSpaceDN w:val="0"/>
        <w:autoSpaceDE w:val="0"/>
        <w:widowControl/>
        <w:spacing w:line="26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80.0" w:type="dxa"/>
      </w:tblPr>
      <w:tblGrid>
        <w:gridCol w:w="3313"/>
        <w:gridCol w:w="3313"/>
        <w:gridCol w:w="3313"/>
      </w:tblGrid>
      <w:tr>
        <w:trPr>
          <w:trHeight w:hRule="exact" w:val="1154"/>
        </w:trPr>
        <w:tc>
          <w:tcPr>
            <w:tcW w:type="dxa" w:w="2120"/>
            <w:tcBorders/>
            <w:shd w:fill="f6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30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Recall that:</w:t>
            </w:r>
          </w:p>
        </w:tc>
        <w:tc>
          <w:tcPr>
            <w:tcW w:type="dxa" w:w="3860"/>
            <w:tcBorders/>
            <w:shd w:fill="f6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820" w:after="0"/>
              <w:ind w:left="66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Return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annual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= (1 + Return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weekly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)</w:t>
            </w:r>
          </w:p>
        </w:tc>
        <w:tc>
          <w:tcPr>
            <w:tcW w:type="dxa" w:w="2120"/>
            <w:tcBorders/>
            <w:shd w:fill="f6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auto" w:before="700" w:after="0"/>
              <w:ind w:left="2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52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−1</w:t>
            </w:r>
          </w:p>
        </w:tc>
      </w:tr>
    </w:tbl>
    <w:p>
      <w:pPr>
        <w:autoSpaceDN w:val="0"/>
        <w:autoSpaceDE w:val="0"/>
        <w:widowControl/>
        <w:spacing w:line="3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80.0" w:type="dxa"/>
      </w:tblPr>
      <w:tblGrid>
        <w:gridCol w:w="1988"/>
        <w:gridCol w:w="1988"/>
        <w:gridCol w:w="1988"/>
        <w:gridCol w:w="1988"/>
        <w:gridCol w:w="1988"/>
      </w:tblGrid>
      <w:tr>
        <w:trPr>
          <w:trHeight w:hRule="exact" w:val="566"/>
        </w:trPr>
        <w:tc>
          <w:tcPr>
            <w:tcW w:type="dxa" w:w="6020"/>
            <w:gridSpan w:val="3"/>
            <w:tcBorders/>
            <w:shd w:fill="f6f2f2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30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We can rewrite the above equation as follows:</w:t>
            </w:r>
          </w:p>
        </w:tc>
        <w:tc>
          <w:tcPr>
            <w:tcW w:type="dxa" w:w="140"/>
            <w:vMerge w:val="restart"/>
            <w:tcBorders>
              <w:bottom w:sz="8.0" w:val="single" w:color="#282D35"/>
            </w:tcBorders>
            <w:shd w:fill="f6f2f2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726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2"/>
              </w:rPr>
              <w:t>1</w:t>
            </w:r>
          </w:p>
        </w:tc>
        <w:tc>
          <w:tcPr>
            <w:tcW w:type="dxa" w:w="1940"/>
            <w:vMerge w:val="restart"/>
            <w:tcBorders>
              <w:bottom w:sz="8.0" w:val="single" w:color="#282D35"/>
            </w:tcBorders>
            <w:shd w:fill="f6f2f2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10"/>
        </w:trPr>
        <w:tc>
          <w:tcPr>
            <w:tcW w:type="dxa" w:w="6020"/>
            <w:gridSpan w:val="3"/>
            <w:vMerge w:val="restart"/>
            <w:tcBorders/>
            <w:shd w:fill="f6f2f2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74" w:after="0"/>
              <w:ind w:left="0" w:right="22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Return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weekly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= (1 + Return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annual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)</w:t>
            </w:r>
          </w:p>
        </w:tc>
        <w:tc>
          <w:tcPr>
            <w:tcW w:type="dxa" w:w="1988"/>
            <w:vMerge/>
            <w:tcBorders>
              <w:bottom w:sz="8.0" w:val="single" w:color="#282D35"/>
            </w:tcBorders>
          </w:tcPr>
          <w:p/>
        </w:tc>
        <w:tc>
          <w:tcPr>
            <w:tcW w:type="dxa" w:w="1988"/>
            <w:vMerge/>
            <w:tcBorders>
              <w:bottom w:sz="8.0" w:val="single" w:color="#282D35"/>
            </w:tcBorders>
          </w:tcPr>
          <w:p/>
        </w:tc>
      </w:tr>
      <w:tr>
        <w:trPr>
          <w:trHeight w:hRule="exact" w:val="238"/>
        </w:trPr>
        <w:tc>
          <w:tcPr>
            <w:tcW w:type="dxa" w:w="5964"/>
            <w:gridSpan w:val="3"/>
            <w:vMerge/>
            <w:tcBorders/>
          </w:tcPr>
          <w:p/>
        </w:tc>
        <w:tc>
          <w:tcPr>
            <w:tcW w:type="dxa" w:w="140"/>
            <w:vMerge w:val="restart"/>
            <w:tcBorders>
              <w:top w:sz="8.0" w:val="single" w:color="#282D35"/>
              <w:bottom w:sz="8.0" w:val="single" w:color="#282D35"/>
            </w:tcBorders>
            <w:shd w:fill="f6f2f2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2"/>
              </w:rPr>
              <w:t>52</w:t>
            </w:r>
          </w:p>
        </w:tc>
        <w:tc>
          <w:tcPr>
            <w:tcW w:type="dxa" w:w="1940"/>
            <w:vMerge w:val="restart"/>
            <w:tcBorders>
              <w:top w:sz="8.0" w:val="single" w:color="#282D35"/>
              <w:bottom w:sz="8.0" w:val="single" w:color="#282D35"/>
            </w:tcBorders>
            <w:shd w:fill="f6f2f2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8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−1</w:t>
            </w:r>
          </w:p>
        </w:tc>
      </w:tr>
      <w:tr>
        <w:trPr>
          <w:trHeight w:hRule="exact" w:val="142"/>
        </w:trPr>
        <w:tc>
          <w:tcPr>
            <w:tcW w:type="dxa" w:w="5260"/>
            <w:tcBorders>
              <w:bottom w:sz="8.0" w:val="single" w:color="#282D35"/>
            </w:tcBorders>
            <w:shd w:fill="f6f2f2"/>
            <w:tcMar>
              <w:start w:w="0" w:type="dxa"/>
              <w:end w:w="0" w:type="dxa"/>
            </w:tcMar>
          </w:tcPr>
          <w:p/>
        </w:tc>
        <w:tc>
          <w:tcPr>
            <w:tcW w:type="dxa" w:w="160"/>
            <w:tcBorders>
              <w:bottom w:sz="8.0" w:val="single" w:color="#282D35"/>
            </w:tcBorders>
            <w:shd w:fill="f6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2"/>
              </w:rPr>
              <w:t>1</w:t>
            </w:r>
          </w:p>
        </w:tc>
        <w:tc>
          <w:tcPr>
            <w:tcW w:type="dxa" w:w="600"/>
            <w:tcBorders>
              <w:bottom w:sz="8.0" w:val="single" w:color="#282D35"/>
            </w:tcBorders>
            <w:shd w:fill="f6f2f2"/>
            <w:tcMar>
              <w:start w:w="0" w:type="dxa"/>
              <w:end w:w="0" w:type="dxa"/>
            </w:tcMar>
          </w:tcPr>
          <w:p/>
        </w:tc>
        <w:tc>
          <w:tcPr>
            <w:tcW w:type="dxa" w:w="1988"/>
            <w:vMerge/>
            <w:tcBorders>
              <w:top w:sz="8.0" w:val="single" w:color="#282D35"/>
              <w:bottom w:sz="8.0" w:val="single" w:color="#282D35"/>
            </w:tcBorders>
          </w:tcPr>
          <w:p/>
        </w:tc>
        <w:tc>
          <w:tcPr>
            <w:tcW w:type="dxa" w:w="1988"/>
            <w:vMerge/>
            <w:tcBorders>
              <w:top w:sz="8.0" w:val="single" w:color="#282D35"/>
              <w:bottom w:sz="8.0" w:val="single" w:color="#282D35"/>
            </w:tcBorders>
          </w:tcPr>
          <w:p/>
        </w:tc>
      </w:tr>
      <w:tr>
        <w:trPr>
          <w:trHeight w:hRule="exact" w:val="240"/>
        </w:trPr>
        <w:tc>
          <w:tcPr>
            <w:tcW w:type="dxa" w:w="5260"/>
            <w:tcBorders>
              <w:top w:sz="8.0" w:val="single" w:color="#282D35"/>
            </w:tcBorders>
            <w:shd w:fill="f6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0" w:after="0"/>
              <w:ind w:left="0" w:right="2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= (1 + 0.23)</w:t>
            </w:r>
          </w:p>
        </w:tc>
        <w:tc>
          <w:tcPr>
            <w:tcW w:type="dxa" w:w="160"/>
            <w:tcBorders>
              <w:top w:sz="8.0" w:val="single" w:color="#282D35"/>
            </w:tcBorders>
            <w:shd w:fill="f6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2"/>
              </w:rPr>
              <w:t>52</w:t>
            </w:r>
          </w:p>
        </w:tc>
        <w:tc>
          <w:tcPr>
            <w:tcW w:type="dxa" w:w="600"/>
            <w:tcBorders>
              <w:top w:sz="8.0" w:val="single" w:color="#282D35"/>
            </w:tcBorders>
            <w:shd w:fill="f6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6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−1</w:t>
            </w:r>
          </w:p>
        </w:tc>
        <w:tc>
          <w:tcPr>
            <w:tcW w:type="dxa" w:w="140"/>
            <w:tcBorders>
              <w:top w:sz="8.0" w:val="single" w:color="#282D35"/>
            </w:tcBorders>
            <w:shd w:fill="f6f2f2"/>
            <w:tcMar>
              <w:start w:w="0" w:type="dxa"/>
              <w:end w:w="0" w:type="dxa"/>
            </w:tcMar>
          </w:tcPr>
          <w:p/>
        </w:tc>
        <w:tc>
          <w:tcPr>
            <w:tcW w:type="dxa" w:w="1940"/>
            <w:tcBorders>
              <w:top w:sz="8.0" w:val="single" w:color="#282D35"/>
            </w:tcBorders>
            <w:shd w:fill="f6f2f2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60.0" w:type="dxa"/>
      </w:tblPr>
      <w:tblGrid>
        <w:gridCol w:w="9940"/>
      </w:tblGrid>
      <w:tr>
        <w:trPr>
          <w:trHeight w:hRule="exact" w:val="354"/>
        </w:trPr>
        <w:tc>
          <w:tcPr>
            <w:tcW w:type="dxa" w:w="5400"/>
            <w:tcBorders/>
            <w:shd w:fill="f6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2372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≈0.40%</w:t>
            </w:r>
          </w:p>
        </w:tc>
      </w:tr>
    </w:tbl>
    <w:p>
      <w:pPr>
        <w:autoSpaceDN w:val="0"/>
        <w:tabs>
          <w:tab w:pos="8020" w:val="left"/>
        </w:tabs>
        <w:autoSpaceDE w:val="0"/>
        <w:widowControl/>
        <w:spacing w:line="295" w:lineRule="auto" w:before="5344" w:after="0"/>
        <w:ind w:left="4846" w:right="0" w:firstLine="0"/>
        <w:jc w:val="left"/>
      </w:pPr>
      <w:r>
        <w:rPr>
          <w:rFonts w:ascii="DejaVu Serif" w:hAnsi="DejaVu Serif" w:eastAsia="DejaVu Serif"/>
          <w:b w:val="0"/>
          <w:i w:val="0"/>
          <w:color w:val="000000"/>
          <w:sz w:val="18"/>
        </w:rPr>
        <w:t>26</w:t>
      </w:r>
      <w:r>
        <w:br/>
      </w:r>
      <w:r>
        <w:tab/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© 2014-2024 AnalystPrep.</w:t>
      </w:r>
    </w:p>
    <w:p>
      <w:pPr>
        <w:sectPr>
          <w:pgSz w:w="12240" w:h="15840"/>
          <w:pgMar w:top="580" w:right="1140" w:bottom="320" w:left="11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86"/>
        <w:ind w:left="0" w:right="0"/>
      </w:pPr>
    </w:p>
    <w:p>
      <w:pPr>
        <w:autoSpaceDN w:val="0"/>
        <w:autoSpaceDE w:val="0"/>
        <w:widowControl/>
        <w:spacing w:line="290" w:lineRule="auto" w:before="0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282D35"/>
          <w:sz w:val="24"/>
        </w:rPr>
        <w:t xml:space="preserve">LOS 1e: calculate and interpret major return measures and describe </w:t>
      </w:r>
      <w:r>
        <w:rPr>
          <w:rFonts w:ascii="DejaVu Serif" w:hAnsi="DejaVu Serif" w:eastAsia="DejaVu Serif"/>
          <w:b/>
          <w:i w:val="0"/>
          <w:color w:val="282D35"/>
          <w:sz w:val="24"/>
        </w:rPr>
        <w:t>their appropriate uses</w:t>
      </w:r>
    </w:p>
    <w:p>
      <w:pPr>
        <w:autoSpaceDN w:val="0"/>
        <w:autoSpaceDE w:val="0"/>
        <w:widowControl/>
        <w:spacing w:line="240" w:lineRule="auto" w:before="442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282D35"/>
          <w:sz w:val="28"/>
        </w:rPr>
        <w:t>Other Return Measures</w:t>
      </w:r>
    </w:p>
    <w:p>
      <w:pPr>
        <w:autoSpaceDN w:val="0"/>
        <w:autoSpaceDE w:val="0"/>
        <w:widowControl/>
        <w:spacing w:line="240" w:lineRule="auto" w:before="528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282D35"/>
          <w:sz w:val="24"/>
        </w:rPr>
        <w:t>Gross and Net Return</w:t>
      </w:r>
    </w:p>
    <w:p>
      <w:pPr>
        <w:autoSpaceDN w:val="0"/>
        <w:autoSpaceDE w:val="0"/>
        <w:widowControl/>
        <w:spacing w:line="365" w:lineRule="auto" w:before="478" w:after="0"/>
        <w:ind w:left="0" w:right="28" w:firstLine="0"/>
        <w:jc w:val="both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The gross return is what an asset manager earns before subtracting various costs such as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management fees, custody fees, taxes, and other administrative expenses. However, it does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account for trading costs such as commissions.</w:t>
      </w:r>
    </w:p>
    <w:p>
      <w:pPr>
        <w:autoSpaceDN w:val="0"/>
        <w:autoSpaceDE w:val="0"/>
        <w:widowControl/>
        <w:spacing w:line="334" w:lineRule="auto" w:before="38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Gross return does not consider management or administrative costs. For this reason, it is a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suitable metric for assessing and comparing the investment expertise of asset managers.</w:t>
      </w:r>
    </w:p>
    <w:p>
      <w:pPr>
        <w:autoSpaceDN w:val="0"/>
        <w:autoSpaceDE w:val="0"/>
        <w:widowControl/>
        <w:spacing w:line="336" w:lineRule="auto" w:before="384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444444"/>
          <w:sz w:val="20"/>
        </w:rPr>
        <w:t>Net return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 is a metric for how much an investment has earned for the investor. It considers all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administrative and management costs that reduce an investor’s return.</w:t>
      </w:r>
    </w:p>
    <w:p>
      <w:pPr>
        <w:autoSpaceDN w:val="0"/>
        <w:autoSpaceDE w:val="0"/>
        <w:widowControl/>
        <w:spacing w:line="240" w:lineRule="auto" w:before="486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282D35"/>
          <w:sz w:val="24"/>
        </w:rPr>
        <w:t>Pre-tax and After-tax Nominal Return</w:t>
      </w:r>
    </w:p>
    <w:p>
      <w:pPr>
        <w:autoSpaceDN w:val="0"/>
        <w:autoSpaceDE w:val="0"/>
        <w:widowControl/>
        <w:spacing w:line="365" w:lineRule="auto" w:before="478" w:after="0"/>
        <w:ind w:left="0" w:right="26" w:firstLine="0"/>
        <w:jc w:val="both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Unless otherwise stated, all returns are nominal pre-tax returns in general. Depending on the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jurisdiction, different rates apply to capital gains and income. Long-term and short-term taxes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may also be applied to capital gains.</w:t>
      </w:r>
    </w:p>
    <w:p>
      <w:pPr>
        <w:autoSpaceDN w:val="0"/>
        <w:autoSpaceDE w:val="0"/>
        <w:widowControl/>
        <w:spacing w:line="334" w:lineRule="auto" w:before="38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The after-tax nominal return is determined by subtracting any tax deductions applied to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dividends, interest, and realized gains from the total return.</w:t>
      </w:r>
    </w:p>
    <w:p>
      <w:pPr>
        <w:autoSpaceDN w:val="0"/>
        <w:autoSpaceDE w:val="0"/>
        <w:widowControl/>
        <w:spacing w:line="240" w:lineRule="auto" w:before="486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282D35"/>
          <w:sz w:val="24"/>
        </w:rPr>
        <w:t>Real Returns</w:t>
      </w:r>
    </w:p>
    <w:p>
      <w:pPr>
        <w:autoSpaceDN w:val="0"/>
        <w:autoSpaceDE w:val="0"/>
        <w:widowControl/>
        <w:spacing w:line="382" w:lineRule="auto" w:before="478" w:after="0"/>
        <w:ind w:left="0" w:right="24" w:firstLine="0"/>
        <w:jc w:val="both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Returns are typically presented in nominal terms, which consist of three components: the real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risk-free return as compensation for postponing consumption, inflation as compensation for the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loss of purchasing power, and a risk premium. Real returns are useful in comparing returns over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different periods, given that inflation rates vary over time.</w:t>
      </w:r>
    </w:p>
    <w:p>
      <w:pPr>
        <w:autoSpaceDN w:val="0"/>
        <w:autoSpaceDE w:val="0"/>
        <w:widowControl/>
        <w:spacing w:line="240" w:lineRule="auto" w:before="38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Recall the relationship between the nominal rate and the real rate:</w:t>
      </w:r>
    </w:p>
    <w:p>
      <w:pPr>
        <w:autoSpaceDN w:val="0"/>
        <w:tabs>
          <w:tab w:pos="8020" w:val="left"/>
        </w:tabs>
        <w:autoSpaceDE w:val="0"/>
        <w:widowControl/>
        <w:spacing w:line="295" w:lineRule="auto" w:before="864" w:after="0"/>
        <w:ind w:left="4846" w:right="0" w:firstLine="0"/>
        <w:jc w:val="left"/>
      </w:pPr>
      <w:r>
        <w:rPr>
          <w:rFonts w:ascii="DejaVu Serif" w:hAnsi="DejaVu Serif" w:eastAsia="DejaVu Serif"/>
          <w:b w:val="0"/>
          <w:i w:val="0"/>
          <w:color w:val="000000"/>
          <w:sz w:val="18"/>
        </w:rPr>
        <w:t>27</w:t>
      </w:r>
      <w:r>
        <w:br/>
      </w:r>
      <w:r>
        <w:tab/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© 2014-2024 AnalystPrep.</w:t>
      </w:r>
    </w:p>
    <w:p>
      <w:pPr>
        <w:sectPr>
          <w:pgSz w:w="12240" w:h="15840"/>
          <w:pgMar w:top="608" w:right="1140" w:bottom="320" w:left="11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66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(1+ Nominal Risk-free rate)=(1+Real risk free rate)(1+Inflation premium)</w:t>
      </w:r>
    </w:p>
    <w:p>
      <w:pPr>
        <w:autoSpaceDN w:val="0"/>
        <w:autoSpaceDE w:val="0"/>
        <w:widowControl/>
        <w:spacing w:line="240" w:lineRule="auto" w:before="506" w:after="0"/>
        <w:ind w:left="0" w:right="0" w:firstLine="0"/>
        <w:jc w:val="center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We can find the connection between nominal and real returns by considering the real risk-free</w:t>
      </w:r>
    </w:p>
    <w:p>
      <w:pPr>
        <w:autoSpaceDN w:val="0"/>
        <w:autoSpaceDE w:val="0"/>
        <w:widowControl/>
        <w:spacing w:line="240" w:lineRule="auto" w:before="186" w:after="606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rate of return and the inflation premium. This relationship can be expressed as:</w:t>
      </w:r>
    </w:p>
    <w:p>
      <w:pPr>
        <w:sectPr>
          <w:pgSz w:w="12240" w:h="15840"/>
          <w:pgMar w:top="588" w:right="1140" w:bottom="320" w:left="11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9" w:lineRule="auto" w:before="0" w:after="0"/>
        <w:ind w:left="0" w:right="36" w:firstLine="0"/>
        <w:jc w:val="righ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(1 + Real Return) =</w:t>
      </w:r>
    </w:p>
    <w:p>
      <w:pPr>
        <w:sectPr>
          <w:type w:val="continuous"/>
          <w:pgSz w:w="12240" w:h="15840"/>
          <w:pgMar w:top="588" w:right="1140" w:bottom="320" w:left="1160" w:header="720" w:footer="720" w:gutter="0"/>
          <w:cols w:num="2" w:equalWidth="0">
            <w:col w:w="4042" w:space="0"/>
            <w:col w:w="5898" w:space="0"/>
          </w:cols>
          <w:docGrid w:linePitch="360"/>
        </w:sectPr>
      </w:pPr>
    </w:p>
    <w:p>
      <w:pPr>
        <w:autoSpaceDN w:val="0"/>
        <w:tabs>
          <w:tab w:pos="818" w:val="left"/>
        </w:tabs>
        <w:autoSpaceDE w:val="0"/>
        <w:widowControl/>
        <w:spacing w:line="293" w:lineRule="auto" w:before="0" w:after="466"/>
        <w:ind w:left="38" w:right="144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(1 + Real risk-free rate)(1 + Risk premium) </w:t>
      </w:r>
      <w:r>
        <w:tab/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1 + Inflation premium</w:t>
      </w:r>
    </w:p>
    <w:p>
      <w:pPr>
        <w:sectPr>
          <w:type w:val="nextColumn"/>
          <w:pgSz w:w="12240" w:h="15840"/>
          <w:pgMar w:top="588" w:right="1140" w:bottom="320" w:left="1160" w:header="720" w:footer="720" w:gutter="0"/>
          <w:cols w:num="2" w:equalWidth="0">
            <w:col w:w="4042" w:space="0"/>
            <w:col w:w="5898" w:space="0"/>
          </w:cols>
          <w:docGrid w:linePitch="360"/>
        </w:sectPr>
      </w:pPr>
    </w:p>
    <w:p>
      <w:pPr>
        <w:autoSpaceDN w:val="0"/>
        <w:autoSpaceDE w:val="0"/>
        <w:widowControl/>
        <w:spacing w:line="365" w:lineRule="auto" w:before="0" w:after="0"/>
        <w:ind w:left="0" w:right="28" w:firstLine="0"/>
        <w:jc w:val="both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Real returns become particularly useful when you want to compare returns across various time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periods and different countries. This is especially important when returns are shown in local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currencies and when inflation rates vary from one country to another.</w:t>
      </w:r>
    </w:p>
    <w:p>
      <w:pPr>
        <w:autoSpaceDN w:val="0"/>
        <w:autoSpaceDE w:val="0"/>
        <w:widowControl/>
        <w:spacing w:line="334" w:lineRule="auto" w:before="38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After-tax real return is the amount the investor receives as payment for delaying consumption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and taking on risk after paying taxes on investment.</w:t>
      </w:r>
    </w:p>
    <w:p>
      <w:pPr>
        <w:autoSpaceDN w:val="0"/>
        <w:autoSpaceDE w:val="0"/>
        <w:widowControl/>
        <w:spacing w:line="240" w:lineRule="auto" w:before="486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282D35"/>
          <w:sz w:val="24"/>
        </w:rPr>
        <w:t>Leveraged Returns</w:t>
      </w:r>
    </w:p>
    <w:p>
      <w:pPr>
        <w:autoSpaceDN w:val="0"/>
        <w:autoSpaceDE w:val="0"/>
        <w:widowControl/>
        <w:spacing w:line="365" w:lineRule="auto" w:before="478" w:after="0"/>
        <w:ind w:left="0" w:right="22" w:firstLine="0"/>
        <w:jc w:val="both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If an investor uses derivative instruments within a portfolio or borrows money to invest, then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leverage is introduced into the portfolio. The leverage amplifies the returns on the investor's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capital, both upwards and downwards.</w:t>
      </w:r>
    </w:p>
    <w:p>
      <w:pPr>
        <w:autoSpaceDN w:val="0"/>
        <w:autoSpaceDE w:val="0"/>
        <w:widowControl/>
        <w:spacing w:line="365" w:lineRule="auto" w:before="386" w:after="0"/>
        <w:ind w:left="0" w:right="24" w:firstLine="0"/>
        <w:jc w:val="both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The leveraged return considers the actual return on the investment and the cost of the borrowed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money. The cost of borrowing and financing fees are subtracted from the overall return produced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by the investment to determine the leveraged return.</w:t>
      </w:r>
    </w:p>
    <w:p>
      <w:pPr>
        <w:autoSpaceDN w:val="0"/>
        <w:autoSpaceDE w:val="0"/>
        <w:widowControl/>
        <w:spacing w:line="334" w:lineRule="auto" w:before="38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Using the borrowed capital (debt) increases the size of the leveraged position by the additional 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>borrowed capital.</w:t>
      </w:r>
    </w:p>
    <w:p>
      <w:pPr>
        <w:autoSpaceDN w:val="0"/>
        <w:autoSpaceDE w:val="0"/>
        <w:widowControl/>
        <w:spacing w:line="240" w:lineRule="auto" w:before="386" w:after="386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Intuitively, the leveraged return is given by: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80.0" w:type="dxa"/>
      </w:tblPr>
      <w:tblGrid>
        <w:gridCol w:w="2485"/>
        <w:gridCol w:w="2485"/>
        <w:gridCol w:w="2485"/>
        <w:gridCol w:w="2485"/>
      </w:tblGrid>
      <w:tr>
        <w:trPr>
          <w:trHeight w:hRule="exact" w:val="336"/>
        </w:trPr>
        <w:tc>
          <w:tcPr>
            <w:tcW w:type="dxa" w:w="224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410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R</w:t>
            </w:r>
          </w:p>
        </w:tc>
        <w:tc>
          <w:tcPr>
            <w:tcW w:type="dxa" w:w="4380"/>
            <w:gridSpan w:val="3"/>
            <w:tcBorders>
              <w:bottom w:sz="8.0" w:val="single" w:color="#282D3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Portfolio return</w:t>
            </w:r>
          </w:p>
        </w:tc>
      </w:tr>
      <w:tr>
        <w:trPr>
          <w:trHeight w:hRule="exact" w:val="250"/>
        </w:trPr>
        <w:tc>
          <w:tcPr>
            <w:tcW w:type="dxa" w:w="224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74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L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=</w:t>
            </w:r>
          </w:p>
        </w:tc>
        <w:tc>
          <w:tcPr>
            <w:tcW w:type="dxa" w:w="4380"/>
            <w:gridSpan w:val="3"/>
            <w:tcBorders>
              <w:top w:sz="8.0" w:val="single" w:color="#282D3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" w:after="0"/>
              <w:ind w:left="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Portfolio equity</w:t>
            </w:r>
          </w:p>
        </w:tc>
      </w:tr>
      <w:tr>
        <w:trPr>
          <w:trHeight w:hRule="exact" w:val="310"/>
        </w:trPr>
        <w:tc>
          <w:tcPr>
            <w:tcW w:type="dxa" w:w="22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94" w:after="0"/>
              <w:ind w:left="0" w:right="74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=</w:t>
            </w:r>
          </w:p>
        </w:tc>
        <w:tc>
          <w:tcPr>
            <w:tcW w:type="dxa" w:w="4380"/>
            <w:gridSpan w:val="3"/>
            <w:tcBorders>
              <w:bottom w:sz="8.0" w:val="single" w:color="#282D3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0" w:after="0"/>
              <w:ind w:left="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[R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P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× (V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E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+ V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B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) −(V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B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× r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D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)]</w:t>
            </w:r>
          </w:p>
        </w:tc>
      </w:tr>
      <w:tr>
        <w:trPr>
          <w:trHeight w:hRule="exact" w:val="270"/>
        </w:trPr>
        <w:tc>
          <w:tcPr>
            <w:tcW w:type="dxa" w:w="2485"/>
            <w:vMerge/>
            <w:tcBorders/>
          </w:tcPr>
          <w:p/>
        </w:tc>
        <w:tc>
          <w:tcPr>
            <w:tcW w:type="dxa" w:w="4380"/>
            <w:gridSpan w:val="3"/>
            <w:tcBorders>
              <w:top w:sz="8.0" w:val="single" w:color="#282D3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0" w:after="0"/>
              <w:ind w:left="0" w:right="2958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V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E</w:t>
            </w:r>
          </w:p>
        </w:tc>
      </w:tr>
      <w:tr>
        <w:trPr>
          <w:trHeight w:hRule="exact" w:val="270"/>
        </w:trPr>
        <w:tc>
          <w:tcPr>
            <w:tcW w:type="dxa" w:w="27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34" w:after="0"/>
              <w:ind w:left="0" w:right="54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= R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P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+</w:t>
            </w:r>
          </w:p>
        </w:tc>
        <w:tc>
          <w:tcPr>
            <w:tcW w:type="dxa" w:w="28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V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B</w:t>
            </w:r>
          </w:p>
        </w:tc>
        <w:tc>
          <w:tcPr>
            <w:tcW w:type="dxa" w:w="358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6" w:after="0"/>
              <w:ind w:left="2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(R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−r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)</w:t>
            </w:r>
          </w:p>
        </w:tc>
      </w:tr>
      <w:tr>
        <w:trPr>
          <w:trHeight w:hRule="exact" w:val="344"/>
        </w:trPr>
        <w:tc>
          <w:tcPr>
            <w:tcW w:type="dxa" w:w="4970"/>
            <w:gridSpan w:val="2"/>
            <w:vMerge/>
            <w:tcBorders/>
          </w:tcPr>
          <w:p/>
        </w:tc>
        <w:tc>
          <w:tcPr>
            <w:tcW w:type="dxa" w:w="28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4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V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E</w:t>
            </w:r>
          </w:p>
        </w:tc>
        <w:tc>
          <w:tcPr>
            <w:tcW w:type="dxa" w:w="358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26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P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D</w:t>
            </w:r>
          </w:p>
        </w:tc>
      </w:tr>
    </w:tbl>
    <w:p>
      <w:pPr>
        <w:autoSpaceDN w:val="0"/>
        <w:tabs>
          <w:tab w:pos="8020" w:val="left"/>
        </w:tabs>
        <w:autoSpaceDE w:val="0"/>
        <w:widowControl/>
        <w:spacing w:line="295" w:lineRule="auto" w:before="938" w:after="0"/>
        <w:ind w:left="4846" w:right="0" w:firstLine="0"/>
        <w:jc w:val="left"/>
      </w:pPr>
      <w:r>
        <w:rPr>
          <w:rFonts w:ascii="DejaVu Serif" w:hAnsi="DejaVu Serif" w:eastAsia="DejaVu Serif"/>
          <w:b w:val="0"/>
          <w:i w:val="0"/>
          <w:color w:val="000000"/>
          <w:sz w:val="18"/>
        </w:rPr>
        <w:t>28</w:t>
      </w:r>
      <w:r>
        <w:br/>
      </w:r>
      <w:r>
        <w:tab/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© 2014-2024 AnalystPrep.</w:t>
      </w:r>
    </w:p>
    <w:p>
      <w:pPr>
        <w:sectPr>
          <w:type w:val="continuous"/>
          <w:pgSz w:w="12240" w:h="15840"/>
          <w:pgMar w:top="588" w:right="1140" w:bottom="320" w:left="11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06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Where:</w:t>
      </w:r>
    </w:p>
    <w:p>
      <w:pPr>
        <w:autoSpaceDN w:val="0"/>
        <w:autoSpaceDE w:val="0"/>
        <w:widowControl/>
        <w:spacing w:line="245" w:lineRule="auto" w:before="386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R</w:t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L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 = Return earned on the leveraged portfolio.</w:t>
      </w:r>
    </w:p>
    <w:p>
      <w:pPr>
        <w:autoSpaceDN w:val="0"/>
        <w:autoSpaceDE w:val="0"/>
        <w:widowControl/>
        <w:spacing w:line="245" w:lineRule="auto" w:before="380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R</w:t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P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 = Total investment return earned on the leveraged portfolio.</w:t>
      </w:r>
    </w:p>
    <w:p>
      <w:pPr>
        <w:autoSpaceDN w:val="0"/>
        <w:autoSpaceDE w:val="0"/>
        <w:widowControl/>
        <w:spacing w:line="245" w:lineRule="auto" w:before="380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V</w:t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B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 = Value of debt in the portfolio.</w:t>
      </w:r>
    </w:p>
    <w:p>
      <w:pPr>
        <w:autoSpaceDN w:val="0"/>
        <w:autoSpaceDE w:val="0"/>
        <w:widowControl/>
        <w:spacing w:line="245" w:lineRule="auto" w:before="380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V</w:t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E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 = Value of equity in the portfolio.</w:t>
      </w:r>
    </w:p>
    <w:p>
      <w:pPr>
        <w:autoSpaceDN w:val="0"/>
        <w:autoSpaceDE w:val="0"/>
        <w:widowControl/>
        <w:spacing w:line="245" w:lineRule="auto" w:before="380" w:after="0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r</w:t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D</w:t>
      </w:r>
      <w:r>
        <w:rPr>
          <w:rFonts w:ascii="DejaVu Serif" w:hAnsi="DejaVu Serif" w:eastAsia="DejaVu Serif"/>
          <w:b w:val="0"/>
          <w:i w:val="0"/>
          <w:color w:val="282D35"/>
          <w:sz w:val="20"/>
        </w:rPr>
        <w:t xml:space="preserve"> = Borrowing cost on debt.</w:t>
      </w:r>
    </w:p>
    <w:p>
      <w:pPr>
        <w:autoSpaceDN w:val="0"/>
        <w:autoSpaceDE w:val="0"/>
        <w:widowControl/>
        <w:spacing w:line="240" w:lineRule="auto" w:before="520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282D35"/>
          <w:sz w:val="24"/>
        </w:rPr>
        <w:t>Example: Calculating Leveraged Return</w:t>
      </w:r>
    </w:p>
    <w:p>
      <w:pPr>
        <w:autoSpaceDN w:val="0"/>
        <w:autoSpaceDE w:val="0"/>
        <w:widowControl/>
        <w:spacing w:line="240" w:lineRule="auto" w:before="498" w:after="0"/>
        <w:ind w:left="0" w:right="0" w:firstLine="0"/>
        <w:jc w:val="center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For a $250,000 equity portfolio with an annual 9% total investment return, 40% financed by debt</w:t>
      </w:r>
    </w:p>
    <w:p>
      <w:pPr>
        <w:autoSpaceDN w:val="0"/>
        <w:autoSpaceDE w:val="0"/>
        <w:widowControl/>
        <w:spacing w:line="240" w:lineRule="auto" w:before="186" w:after="366"/>
        <w:ind w:left="0" w:right="0" w:firstLine="0"/>
        <w:jc w:val="left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at 6%, the leveraged return would be: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40.0" w:type="dxa"/>
      </w:tblPr>
      <w:tblGrid>
        <w:gridCol w:w="2485"/>
        <w:gridCol w:w="2485"/>
        <w:gridCol w:w="2485"/>
        <w:gridCol w:w="2485"/>
      </w:tblGrid>
      <w:tr>
        <w:trPr>
          <w:trHeight w:hRule="exact" w:val="356"/>
        </w:trPr>
        <w:tc>
          <w:tcPr>
            <w:tcW w:type="dxa" w:w="212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92" w:after="0"/>
              <w:ind w:left="0" w:right="74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R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R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+</w:t>
            </w:r>
          </w:p>
        </w:tc>
        <w:tc>
          <w:tcPr>
            <w:tcW w:type="dxa" w:w="26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8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V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B</w:t>
            </w:r>
          </w:p>
        </w:tc>
        <w:tc>
          <w:tcPr>
            <w:tcW w:type="dxa" w:w="180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92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(R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−r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)  9% +</w:t>
            </w:r>
          </w:p>
        </w:tc>
        <w:tc>
          <w:tcPr>
            <w:tcW w:type="dxa" w:w="3660"/>
            <w:tcBorders>
              <w:bottom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60" w:val="left"/>
              </w:tabs>
              <w:autoSpaceDE w:val="0"/>
              <w:widowControl/>
              <w:spacing w:line="245" w:lineRule="auto" w:before="0" w:after="0"/>
              <w:ind w:left="0" w:right="1008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$100,000 </w:t>
            </w:r>
            <w:r>
              <w:br/>
            </w:r>
            <w:r>
              <w:tab/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(9% −6%)  11%</w:t>
            </w:r>
          </w:p>
        </w:tc>
      </w:tr>
      <w:tr>
        <w:trPr>
          <w:trHeight w:hRule="exact" w:val="344"/>
        </w:trPr>
        <w:tc>
          <w:tcPr>
            <w:tcW w:type="dxa" w:w="212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0" w:after="0"/>
              <w:ind w:left="0" w:right="240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L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=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P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</w:t>
            </w:r>
          </w:p>
        </w:tc>
        <w:tc>
          <w:tcPr>
            <w:tcW w:type="dxa" w:w="26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4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V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E</w:t>
            </w:r>
          </w:p>
        </w:tc>
        <w:tc>
          <w:tcPr>
            <w:tcW w:type="dxa" w:w="180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0" w:after="0"/>
              <w:ind w:left="26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P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D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=</w:t>
            </w:r>
          </w:p>
        </w:tc>
        <w:tc>
          <w:tcPr>
            <w:tcW w:type="dxa" w:w="3660"/>
            <w:tcBorders>
              <w:top w:sz="8.0" w:val="single" w:color="#282D35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830"/>
              <w:gridCol w:w="1830"/>
            </w:tblGrid>
            <w:tr>
              <w:trPr>
                <w:trHeight w:hRule="exact" w:val="348"/>
              </w:trPr>
              <w:tc>
                <w:tcPr>
                  <w:tcW w:type="dxa" w:w="1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2" w:after="0"/>
                    <w:ind w:left="0" w:right="0" w:firstLine="0"/>
                    <w:jc w:val="left"/>
                  </w:pPr>
                  <w:r>
                    <w:rPr>
                      <w:rFonts w:ascii="DejaVu Serif" w:hAnsi="DejaVu Serif" w:eastAsia="DejaVu Serif"/>
                      <w:b w:val="0"/>
                      <w:i w:val="0"/>
                      <w:color w:val="282D35"/>
                      <w:sz w:val="20"/>
                    </w:rPr>
                    <w:t>$150,000</w:t>
                  </w:r>
                </w:p>
              </w:tc>
              <w:tc>
                <w:tcPr>
                  <w:tcW w:type="dxa" w:w="14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0" w:right="754" w:firstLine="0"/>
                    <w:jc w:val="right"/>
                  </w:pPr>
                  <w:r>
                    <w:rPr>
                      <w:rFonts w:ascii="DejaVu Serif" w:hAnsi="DejaVu Serif" w:eastAsia="DejaVu Serif"/>
                      <w:b w:val="0"/>
                      <w:i w:val="0"/>
                      <w:color w:val="282D35"/>
                      <w:sz w:val="20"/>
                    </w:rPr>
                    <w:t>=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38" w:lineRule="auto" w:before="7078" w:after="0"/>
        <w:ind w:left="0" w:right="0" w:firstLine="0"/>
        <w:jc w:val="center"/>
      </w:pPr>
      <w:r>
        <w:rPr>
          <w:rFonts w:ascii="DejaVu Serif" w:hAnsi="DejaVu Serif" w:eastAsia="DejaVu Serif"/>
          <w:b w:val="0"/>
          <w:i w:val="0"/>
          <w:color w:val="000000"/>
          <w:sz w:val="18"/>
        </w:rPr>
        <w:t>29</w:t>
      </w:r>
    </w:p>
    <w:p>
      <w:pPr>
        <w:autoSpaceDN w:val="0"/>
        <w:autoSpaceDE w:val="0"/>
        <w:widowControl/>
        <w:spacing w:line="240" w:lineRule="auto" w:before="88" w:after="0"/>
        <w:ind w:left="0" w:right="28" w:firstLine="0"/>
        <w:jc w:val="right"/>
      </w:pPr>
      <w:r>
        <w:rPr>
          <w:rFonts w:ascii="DejaVu Serif" w:hAnsi="DejaVu Serif" w:eastAsia="DejaVu Serif"/>
          <w:b w:val="0"/>
          <w:i w:val="0"/>
          <w:color w:val="282D35"/>
          <w:sz w:val="14"/>
        </w:rPr>
        <w:t>© 2014-2024 AnalystPrep.</w:t>
      </w:r>
    </w:p>
    <w:p>
      <w:pPr>
        <w:sectPr>
          <w:pgSz w:w="12240" w:h="15840"/>
          <w:pgMar w:top="628" w:right="1140" w:bottom="320" w:left="11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6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40.0" w:type="dxa"/>
      </w:tblPr>
      <w:tblGrid>
        <w:gridCol w:w="9940"/>
      </w:tblGrid>
      <w:tr>
        <w:trPr>
          <w:trHeight w:hRule="exact" w:val="1016"/>
        </w:trPr>
        <w:tc>
          <w:tcPr>
            <w:tcW w:type="dxa" w:w="9640"/>
            <w:tcBorders/>
            <w:shd w:fill="f6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74" w:after="0"/>
              <w:ind w:left="440" w:right="0" w:firstLine="0"/>
              <w:jc w:val="left"/>
            </w:pPr>
            <w:r>
              <w:rPr>
                <w:rFonts w:ascii="DejaVu Serif" w:hAnsi="DejaVu Serif" w:eastAsia="DejaVu Serif"/>
                <w:b/>
                <w:i w:val="0"/>
                <w:color w:val="282D35"/>
                <w:sz w:val="24"/>
              </w:rPr>
              <w:t>Question</w:t>
            </w:r>
          </w:p>
        </w:tc>
      </w:tr>
    </w:tbl>
    <w:p>
      <w:pPr>
        <w:autoSpaceDN w:val="0"/>
        <w:autoSpaceDE w:val="0"/>
        <w:widowControl/>
        <w:spacing w:line="35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80.0" w:type="dxa"/>
      </w:tblPr>
      <w:tblGrid>
        <w:gridCol w:w="9940"/>
      </w:tblGrid>
      <w:tr>
        <w:trPr>
          <w:trHeight w:hRule="exact" w:val="354"/>
        </w:trPr>
        <w:tc>
          <w:tcPr>
            <w:tcW w:type="dxa" w:w="9340"/>
            <w:tcBorders/>
            <w:shd w:fill="f6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A $7,500,000 equity portfolio is 35% financed by debt at a cost of 5% per annum. If</w:t>
            </w:r>
          </w:p>
        </w:tc>
      </w:tr>
    </w:tbl>
    <w:p>
      <w:pPr>
        <w:autoSpaceDN w:val="0"/>
        <w:autoSpaceDE w:val="0"/>
        <w:widowControl/>
        <w:spacing w:line="240" w:lineRule="auto" w:before="126" w:after="126"/>
        <w:ind w:left="0" w:right="0" w:firstLine="0"/>
        <w:jc w:val="center"/>
      </w:pPr>
      <w:r>
        <w:rPr>
          <w:rFonts w:ascii="DejaVu Serif" w:hAnsi="DejaVu Serif" w:eastAsia="DejaVu Serif"/>
          <w:b w:val="0"/>
          <w:i w:val="0"/>
          <w:color w:val="282D35"/>
          <w:sz w:val="20"/>
        </w:rPr>
        <w:t>the equity portfolio generates a 9% annual total investment return, the leverage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0.0" w:type="dxa"/>
      </w:tblPr>
      <w:tblGrid>
        <w:gridCol w:w="9940"/>
      </w:tblGrid>
      <w:tr>
        <w:trPr>
          <w:trHeight w:hRule="exact" w:val="354"/>
        </w:trPr>
        <w:tc>
          <w:tcPr>
            <w:tcW w:type="dxa" w:w="5960"/>
            <w:tcBorders/>
            <w:shd w:fill="f6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30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return is closest to:</w:t>
            </w:r>
          </w:p>
        </w:tc>
      </w:tr>
    </w:tbl>
    <w:p>
      <w:pPr>
        <w:autoSpaceDN w:val="0"/>
        <w:autoSpaceDE w:val="0"/>
        <w:widowControl/>
        <w:spacing w:line="26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80.0" w:type="dxa"/>
      </w:tblPr>
      <w:tblGrid>
        <w:gridCol w:w="9940"/>
      </w:tblGrid>
      <w:tr>
        <w:trPr>
          <w:trHeight w:hRule="exact" w:val="354"/>
        </w:trPr>
        <w:tc>
          <w:tcPr>
            <w:tcW w:type="dxa" w:w="5520"/>
            <w:tcBorders/>
            <w:shd w:fill="f6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70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A. 11.15%.</w:t>
            </w:r>
          </w:p>
        </w:tc>
      </w:tr>
    </w:tbl>
    <w:p>
      <w:pPr>
        <w:autoSpaceDN w:val="0"/>
        <w:autoSpaceDE w:val="0"/>
        <w:widowControl/>
        <w:spacing w:line="26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80.0" w:type="dxa"/>
      </w:tblPr>
      <w:tblGrid>
        <w:gridCol w:w="9940"/>
      </w:tblGrid>
      <w:tr>
        <w:trPr>
          <w:trHeight w:hRule="exact" w:val="354"/>
        </w:trPr>
        <w:tc>
          <w:tcPr>
            <w:tcW w:type="dxa" w:w="5520"/>
            <w:tcBorders/>
            <w:shd w:fill="f6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70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B. 14.00%.</w:t>
            </w:r>
          </w:p>
        </w:tc>
      </w:tr>
    </w:tbl>
    <w:p>
      <w:pPr>
        <w:autoSpaceDN w:val="0"/>
        <w:autoSpaceDE w:val="0"/>
        <w:widowControl/>
        <w:spacing w:line="26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80.0" w:type="dxa"/>
      </w:tblPr>
      <w:tblGrid>
        <w:gridCol w:w="9940"/>
      </w:tblGrid>
      <w:tr>
        <w:trPr>
          <w:trHeight w:hRule="exact" w:val="354"/>
        </w:trPr>
        <w:tc>
          <w:tcPr>
            <w:tcW w:type="dxa" w:w="5480"/>
            <w:tcBorders/>
            <w:shd w:fill="f6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70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000000"/>
                <w:sz w:val="20"/>
              </w:rPr>
              <w:t>C. 8. 25%.</w:t>
            </w:r>
          </w:p>
        </w:tc>
      </w:tr>
    </w:tbl>
    <w:p>
      <w:pPr>
        <w:autoSpaceDN w:val="0"/>
        <w:autoSpaceDE w:val="0"/>
        <w:widowControl/>
        <w:spacing w:line="26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80.0" w:type="dxa"/>
      </w:tblPr>
      <w:tblGrid>
        <w:gridCol w:w="4970"/>
        <w:gridCol w:w="4970"/>
      </w:tblGrid>
      <w:tr>
        <w:trPr>
          <w:trHeight w:hRule="exact" w:val="1896"/>
        </w:trPr>
        <w:tc>
          <w:tcPr>
            <w:tcW w:type="dxa" w:w="3600"/>
            <w:tcBorders/>
            <w:shd w:fill="f6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300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The correct answer is </w:t>
            </w:r>
            <w:r>
              <w:rPr>
                <w:rFonts w:ascii="DejaVu Serif" w:hAnsi="DejaVu Serif" w:eastAsia="DejaVu Serif"/>
                <w:b/>
                <w:i w:val="0"/>
                <w:color w:val="444444"/>
                <w:sz w:val="20"/>
              </w:rPr>
              <w:t>A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259" w:lineRule="auto" w:before="586" w:after="0"/>
              <w:ind w:left="0" w:right="34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R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L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= R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P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+</w:t>
            </w:r>
          </w:p>
          <w:p>
            <w:pPr>
              <w:autoSpaceDN w:val="0"/>
              <w:autoSpaceDE w:val="0"/>
              <w:widowControl/>
              <w:spacing w:line="259" w:lineRule="auto" w:before="286" w:after="0"/>
              <w:ind w:left="0" w:right="0" w:firstLine="0"/>
              <w:jc w:val="righ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= 9% +</w:t>
            </w:r>
          </w:p>
        </w:tc>
        <w:tc>
          <w:tcPr>
            <w:tcW w:type="dxa" w:w="4620"/>
            <w:tcBorders/>
            <w:shd w:fill="f6f2f2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20" w:val="left"/>
              </w:tabs>
              <w:autoSpaceDE w:val="0"/>
              <w:widowControl/>
              <w:spacing w:line="245" w:lineRule="auto" w:before="742" w:after="0"/>
              <w:ind w:left="20" w:right="3312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V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 xml:space="preserve">B </w:t>
            </w:r>
            <w:r>
              <w:br/>
            </w:r>
            <w:r>
              <w:tab/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(R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P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 −r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D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) </w:t>
            </w:r>
            <w:r>
              <w:br/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V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14"/>
              </w:rPr>
              <w:t>E</w:t>
            </w:r>
          </w:p>
          <w:p>
            <w:pPr>
              <w:autoSpaceDN w:val="0"/>
              <w:tabs>
                <w:tab w:pos="1120" w:val="left"/>
              </w:tabs>
              <w:autoSpaceDE w:val="0"/>
              <w:widowControl/>
              <w:spacing w:line="245" w:lineRule="auto" w:before="0" w:after="0"/>
              <w:ind w:left="80" w:right="1296" w:firstLine="0"/>
              <w:jc w:val="left"/>
            </w:pP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$2, 625, 000 </w:t>
            </w:r>
            <w:r>
              <w:br/>
            </w:r>
            <w:r>
              <w:tab/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 xml:space="preserve">(9% −5%) = 11.15% </w:t>
            </w:r>
            <w:r>
              <w:rPr>
                <w:rFonts w:ascii="DejaVu Serif" w:hAnsi="DejaVu Serif" w:eastAsia="DejaVu Serif"/>
                <w:b w:val="0"/>
                <w:i w:val="0"/>
                <w:color w:val="282D35"/>
                <w:sz w:val="20"/>
              </w:rPr>
              <w:t>$4, 875, 000</w:t>
            </w:r>
          </w:p>
        </w:tc>
      </w:tr>
    </w:tbl>
    <w:p>
      <w:pPr>
        <w:autoSpaceDN w:val="0"/>
        <w:tabs>
          <w:tab w:pos="8020" w:val="left"/>
        </w:tabs>
        <w:autoSpaceDE w:val="0"/>
        <w:widowControl/>
        <w:spacing w:line="295" w:lineRule="auto" w:before="6944" w:after="0"/>
        <w:ind w:left="4846" w:right="0" w:firstLine="0"/>
        <w:jc w:val="left"/>
      </w:pPr>
      <w:r>
        <w:rPr>
          <w:rFonts w:ascii="DejaVu Serif" w:hAnsi="DejaVu Serif" w:eastAsia="DejaVu Serif"/>
          <w:b w:val="0"/>
          <w:i w:val="0"/>
          <w:color w:val="000000"/>
          <w:sz w:val="18"/>
        </w:rPr>
        <w:t>30</w:t>
      </w:r>
      <w:r>
        <w:br/>
      </w:r>
      <w:r>
        <w:tab/>
      </w:r>
      <w:r>
        <w:rPr>
          <w:rFonts w:ascii="DejaVu Serif" w:hAnsi="DejaVu Serif" w:eastAsia="DejaVu Serif"/>
          <w:b w:val="0"/>
          <w:i w:val="0"/>
          <w:color w:val="282D35"/>
          <w:sz w:val="14"/>
        </w:rPr>
        <w:t>© 2014-2024 AnalystPrep.</w:t>
      </w:r>
    </w:p>
    <w:sectPr w:rsidR="00FC693F" w:rsidRPr="0006063C" w:rsidSect="00034616">
      <w:pgSz w:w="12240" w:h="15840"/>
      <w:pgMar w:top="580" w:right="1140" w:bottom="320" w:left="11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