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Analyzing Balance Sheet</w:t>
      </w:r>
    </w:p>
    <w:p>
      <w:pPr>
        <w:autoSpaceDN w:val="0"/>
        <w:autoSpaceDE w:val="0"/>
        <w:widowControl/>
        <w:spacing w:line="24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Q.348 A company's ability to meet short-term obligations is most likely termed as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solvency.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liquidity.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profitability.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company's ability to meet short-term obligations is most accurately described by its liquidity.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refers to the ease with which a company can convert its assets into cash to pay off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short-term liabilities without significant loss in value. This is a critical measure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health, as it indicates a company's capability to handle its immediate financial responsibilities,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paying suppliers, employees, and other operational expenses. High liquidity levels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 that a company can easily meet its short-term obligations, thereby reducing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distress. Liquidity is often assessed using ratios such as the current ratio and the quick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ratio, which compare a company's current assets to its current liabilities.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Solvency refers to a company's ability to meet its long-term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commitments and obligations. It is a measure of financial stability and endurance, indicating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whether a company can sustain its operations and growth over the long term. Solvency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assessed through ratios such as the debt-to-equity ratio and the interest coverage ratio,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evaluate a company's long-term debt levels and its ability to service this debt. 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Profitability refers to a company's ability to generate earnings relative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revenue, assets, or equity over time. It is an indicator of a company's efficiency in using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 to produce a return. Common measures of profitability include the net profit margin,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assets (ROA), and return on equity (ROE). While profitability is essential for assessing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company's financial performance and its potential to generate wealth for shareholders, it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directly measure the company's capacity to meet short-term financial obligations. 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Q.1974 Which of the following is the most appropriate statement regarding deferred tax assets?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Deferred tax assets are created when the amount of tax expense exceeds the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taxes payable.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Deferred tax assets are created when the amount of taxes payable exceeds the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tax expense in the income statement.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Deferred tax assets are created when the amount of taxes payable is equal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of taxes expense in the income statement.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assets are recognized in situations where the amount of taxes payable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expense reported in the income statement. This discrepancy usually arises due to differences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accounting methods used for financial reporting purposes and those used for tax calculations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(known as temporary differences). Deferred tax assets indicate that a company has either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prepaid taxes or has certain tax carryforwards, which can be used to offset future tax liabilities.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Essentially, it represents an amount that the company is expected to recover in future periods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 lower tax payments.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inaccurately describes the creation of deferred tax assets. Deferred tax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generated when tax expense on the income statement exceeds taxes payable. Instead,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scenario typically leads to the recognition of a deferred tax liability, not an asset. A deferred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liability indicates that the company will owe more taxes in the future than what is currently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on the income statement, due to temporary differences between the accounting and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treatments of certain items.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deferred tax assets are created when the amount of taxes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payable is equal to the tax expense in the income statement. This statement is fundamentally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flawed as deferred tax assets (or liabilities) arise due to differences between the tax base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or liabilities and their carrying amount in the financial statements. When the taxes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payable are equal to the tax expense, it indicates that there are no temporary differences,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no deferred tax assets or liabilities would typically be recognized under this scenario.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3d: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non-current liabilities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Q.1978 Everest Bank is analysing D-Corp to measure its ability to pay off a long-term debt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D-Corp has recently applied for. Which of the following analyses will serve this purpose?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Solvency analysis.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Liquidity analysis.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Profitability analysis.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solvency analysis is used to measure the ability of a company to meet its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Liquidity analysis is used to measure the ability of a company to meet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Profitability analysis is used to measure the ability of a company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 on capital invested.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432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Q.1981 Trance Inc. purchased outstanding stocks of Deep House Corp for $450 million.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table is an excerpt of Deep House's balance sheet., calculate the amount of goodwill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amount of gain on the purchase of Deep House's stocks if the fair value of the assets of Deep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House is equal to its book value.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4.0" w:type="dxa"/>
      </w:tblPr>
      <w:tblGrid>
        <w:gridCol w:w="4999"/>
        <w:gridCol w:w="4999"/>
      </w:tblGrid>
      <w:tr>
        <w:trPr>
          <w:trHeight w:hRule="exact" w:val="290"/>
        </w:trPr>
        <w:tc>
          <w:tcPr>
            <w:tcW w:type="dxa" w:w="33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</w:t>
            </w:r>
          </w:p>
        </w:tc>
        <w:tc>
          <w:tcPr>
            <w:tcW w:type="dxa" w:w="2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Amount (in million $)</w:t>
            </w:r>
          </w:p>
        </w:tc>
      </w:tr>
      <w:tr>
        <w:trPr>
          <w:trHeight w:hRule="exact" w:val="280"/>
        </w:trPr>
        <w:tc>
          <w:tcPr>
            <w:tcW w:type="dxa" w:w="33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</w:tr>
      <w:tr>
        <w:trPr>
          <w:trHeight w:hRule="exact" w:val="280"/>
        </w:trPr>
        <w:tc>
          <w:tcPr>
            <w:tcW w:type="dxa" w:w="33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Inventory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</w:tr>
      <w:tr>
        <w:trPr>
          <w:trHeight w:hRule="exact" w:val="280"/>
        </w:trPr>
        <w:tc>
          <w:tcPr>
            <w:tcW w:type="dxa" w:w="33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Property, Plant and Equipment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480</w:t>
            </w:r>
          </w:p>
        </w:tc>
      </w:tr>
      <w:tr>
        <w:trPr>
          <w:trHeight w:hRule="exact" w:val="280"/>
        </w:trPr>
        <w:tc>
          <w:tcPr>
            <w:tcW w:type="dxa" w:w="33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Short-term Liabilities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</w:t>
            </w:r>
          </w:p>
        </w:tc>
      </w:tr>
      <w:tr>
        <w:trPr>
          <w:trHeight w:hRule="exact" w:val="280"/>
        </w:trPr>
        <w:tc>
          <w:tcPr>
            <w:tcW w:type="dxa" w:w="33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Long-term Liabilities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</w:t>
            </w:r>
          </w:p>
        </w:tc>
      </w:tr>
      <w:tr>
        <w:trPr>
          <w:trHeight w:hRule="exact" w:val="310"/>
        </w:trPr>
        <w:tc>
          <w:tcPr>
            <w:tcW w:type="dxa" w:w="33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Common Equity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</w:t>
            </w:r>
          </w:p>
        </w:tc>
      </w:tr>
    </w:tbl>
    <w:p>
      <w:pPr>
        <w:autoSpaceDN w:val="0"/>
        <w:autoSpaceDE w:val="0"/>
        <w:widowControl/>
        <w:spacing w:line="264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Deep House's fair value is equal to its book value, the amount of goodwill or the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gain on the purchase of Deep House's stocks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Goodwill of $50 million is recognized on the balance sheet.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loss of $50 million is recognized in the income statement.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gain of $50 million is recognized in the income statement.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6" w:lineRule="auto" w:before="666" w:after="0"/>
        <w:ind w:left="432" w:right="432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Assets Value = $200 million (Cash) + $50 million (Inventory) + $480 million (Plant)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−$80 million (Short-term liabilities) −$150 million (Long-term liabilities) = $500 million</w:t>
      </w:r>
    </w:p>
    <w:p>
      <w:pPr>
        <w:autoSpaceDN w:val="0"/>
        <w:autoSpaceDE w:val="0"/>
        <w:widowControl/>
        <w:spacing w:line="259" w:lineRule="auto" w:before="38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paid for the purchase of Deep House stocks is $450 million, which is less than the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 net assets of $500 million. Therefore, a $50 million gain on the purchase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is to be recognized.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Goodwill is the excess of the purchase price of an acquired company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 of the identifiable net assets acquired. If the purchase price is less than the fair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net assets, then again is recognized in the acquirer's income statement.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Contradicts option C.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3a: 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Q.1992 Simon Belfast, an equity analyst, analyzes two market leaders (Sun Corp. &amp; Moon Inc.)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automotive industry. As such, he collected the following data.</w:t>
      </w:r>
    </w:p>
    <w:p>
      <w:pPr>
        <w:autoSpaceDN w:val="0"/>
        <w:autoSpaceDE w:val="0"/>
        <w:widowControl/>
        <w:spacing w:line="242" w:lineRule="auto" w:before="6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7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23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Sun Corp.</w:t>
            </w:r>
          </w:p>
        </w:tc>
        <w:tc>
          <w:tcPr>
            <w:tcW w:type="dxa" w:w="1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Moon Inc.</w:t>
            </w:r>
          </w:p>
        </w:tc>
      </w:tr>
      <w:tr>
        <w:trPr>
          <w:trHeight w:hRule="exact" w:val="1120"/>
        </w:trPr>
        <w:tc>
          <w:tcPr>
            <w:tcW w:type="dxa" w:w="23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Marketable securities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PP&amp;E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650,000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410,000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240,000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1,300,000</w:t>
            </w:r>
          </w:p>
        </w:tc>
      </w:tr>
      <w:tr>
        <w:trPr>
          <w:trHeight w:hRule="exact" w:val="870"/>
        </w:trPr>
        <w:tc>
          <w:tcPr>
            <w:tcW w:type="dxa" w:w="23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Short-term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Long-term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Common equity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2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500,000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1,800,000</w:t>
            </w:r>
          </w:p>
        </w:tc>
      </w:tr>
    </w:tbl>
    <w:p>
      <w:pPr>
        <w:autoSpaceDN w:val="0"/>
        <w:tabs>
          <w:tab w:pos="794" w:val="left"/>
        </w:tabs>
        <w:autoSpaceDE w:val="0"/>
        <w:widowControl/>
        <w:spacing w:line="264" w:lineRule="auto" w:before="394" w:after="0"/>
        <w:ind w:left="14" w:right="59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Sun Corp's cash ratio is closest to: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0.63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2.10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2.83</w:t>
      </w:r>
    </w:p>
    <w:p>
      <w:pPr>
        <w:autoSpaceDN w:val="0"/>
        <w:autoSpaceDE w:val="0"/>
        <w:widowControl/>
        <w:spacing w:line="242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4.0" w:type="dxa"/>
      </w:tblPr>
      <w:tblGrid>
        <w:gridCol w:w="4999"/>
        <w:gridCol w:w="4999"/>
      </w:tblGrid>
      <w:tr>
        <w:trPr>
          <w:trHeight w:hRule="exact" w:val="356"/>
        </w:trPr>
        <w:tc>
          <w:tcPr>
            <w:tcW w:type="dxa" w:w="2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2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ratio =</w:t>
            </w:r>
          </w:p>
        </w:tc>
        <w:tc>
          <w:tcPr>
            <w:tcW w:type="dxa" w:w="4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+ Marketable securities</w:t>
            </w:r>
          </w:p>
        </w:tc>
      </w:tr>
      <w:tr>
        <w:trPr>
          <w:trHeight w:hRule="exact" w:val="818"/>
        </w:trPr>
        <w:tc>
          <w:tcPr>
            <w:tcW w:type="dxa" w:w="2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460" w:val="left"/>
                <w:tab w:pos="1800" w:val="left"/>
              </w:tabs>
              <w:autoSpaceDE w:val="0"/>
              <w:widowControl/>
              <w:spacing w:line="245" w:lineRule="auto" w:before="0" w:after="0"/>
              <w:ind w:left="60" w:right="187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250, 000 + 380, 000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2.1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300, 000</w:t>
            </w:r>
          </w:p>
        </w:tc>
      </w:tr>
    </w:tbl>
    <w:p>
      <w:pPr>
        <w:autoSpaceDN w:val="0"/>
        <w:autoSpaceDE w:val="0"/>
        <w:widowControl/>
        <w:spacing w:line="274" w:lineRule="auto" w:before="346" w:after="30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cash ratio looks at the company’s most liquid short-term assets, which are those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used most easily to pay off current obligations.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Uses long-term liabilities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cash ratio: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4999"/>
        <w:gridCol w:w="4999"/>
      </w:tblGrid>
      <w:tr>
        <w:trPr>
          <w:trHeight w:hRule="exact" w:val="71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ratio =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0" w:val="left"/>
              </w:tabs>
              <w:autoSpaceDE w:val="0"/>
              <w:widowControl/>
              <w:spacing w:line="245" w:lineRule="auto" w:before="60" w:after="0"/>
              <w:ind w:left="6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(250,000 + 380, 000)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0.63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(300,000 + 700, 000)</w:t>
            </w:r>
          </w:p>
        </w:tc>
      </w:tr>
    </w:tbl>
    <w:p>
      <w:pPr>
        <w:autoSpaceDN w:val="0"/>
        <w:autoSpaceDE w:val="0"/>
        <w:widowControl/>
        <w:spacing w:line="242" w:lineRule="auto" w:before="324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Included inventory in the numerator of the cash ratio: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4999"/>
        <w:gridCol w:w="4999"/>
      </w:tblGrid>
      <w:tr>
        <w:trPr>
          <w:trHeight w:hRule="exact" w:val="69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ratio =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0" w:val="left"/>
                <w:tab w:pos="2880" w:val="left"/>
              </w:tabs>
              <w:autoSpaceDE w:val="0"/>
              <w:widowControl/>
              <w:spacing w:line="245" w:lineRule="auto" w:before="60" w:after="0"/>
              <w:ind w:left="4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(250, 000 + 380, 000 + 220, 000)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2.83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300, 000</w:t>
            </w:r>
          </w:p>
        </w:tc>
      </w:tr>
    </w:tbl>
    <w:p>
      <w:pPr>
        <w:autoSpaceDN w:val="0"/>
        <w:autoSpaceDE w:val="0"/>
        <w:widowControl/>
        <w:spacing w:line="274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Q.1993 Simon Belfast, an equity analyst, is analyzing two market leaders (Sun Corp. &amp; Moon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Inc.) in the automotive industry. Using the data given in the following table, Moon Inc's debt-to-</w:t>
      </w:r>
    </w:p>
    <w:p>
      <w:pPr>
        <w:autoSpaceDN w:val="0"/>
        <w:autoSpaceDE w:val="0"/>
        <w:widowControl/>
        <w:spacing w:line="242" w:lineRule="auto" w:before="4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ratio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7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23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Sun Corp.</w:t>
            </w:r>
          </w:p>
        </w:tc>
        <w:tc>
          <w:tcPr>
            <w:tcW w:type="dxa" w:w="1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Moon Inc.</w:t>
            </w:r>
          </w:p>
        </w:tc>
      </w:tr>
      <w:tr>
        <w:trPr>
          <w:trHeight w:hRule="exact" w:val="1120"/>
        </w:trPr>
        <w:tc>
          <w:tcPr>
            <w:tcW w:type="dxa" w:w="23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Marketable securities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PP&amp;E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650,000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410,000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240,000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1,300,000</w:t>
            </w:r>
          </w:p>
        </w:tc>
      </w:tr>
      <w:tr>
        <w:trPr>
          <w:trHeight w:hRule="exact" w:val="870"/>
        </w:trPr>
        <w:tc>
          <w:tcPr>
            <w:tcW w:type="dxa" w:w="23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Short-term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Long-term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Common equity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2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500,000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1,800,000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0.16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0.28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0.48</w:t>
      </w:r>
    </w:p>
    <w:p>
      <w:pPr>
        <w:autoSpaceDN w:val="0"/>
        <w:autoSpaceDE w:val="0"/>
        <w:widowControl/>
        <w:spacing w:line="242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4.00000000000006" w:type="dxa"/>
      </w:tblPr>
      <w:tblGrid>
        <w:gridCol w:w="4999"/>
        <w:gridCol w:w="4999"/>
      </w:tblGrid>
      <w:tr>
        <w:trPr>
          <w:trHeight w:hRule="exact" w:val="57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Debt-to-asset ratio =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60" w:right="2736" w:firstLine="2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debt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</w:p>
        </w:tc>
      </w:tr>
    </w:tbl>
    <w:p>
      <w:pPr>
        <w:autoSpaceDN w:val="0"/>
        <w:tabs>
          <w:tab w:pos="1854" w:val="left"/>
          <w:tab w:pos="1874" w:val="left"/>
          <w:tab w:pos="2934" w:val="left"/>
          <w:tab w:pos="3194" w:val="left"/>
          <w:tab w:pos="3214" w:val="left"/>
          <w:tab w:pos="4174" w:val="left"/>
        </w:tabs>
        <w:autoSpaceDE w:val="0"/>
        <w:widowControl/>
        <w:spacing w:line="245" w:lineRule="auto" w:before="4" w:after="0"/>
        <w:ind w:left="1674" w:right="1008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debt = short-term liabilities + long-term liabilities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400, 000 + 300, 000 = 700,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Assets = Cash + Marketable securities + Inventory + PPE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410, 000 + 240, 000 + 550, 000 + 1, 300, 000 = 2, 500, 000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700, 000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ratio =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0.28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2, 500,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000</w:t>
      </w:r>
    </w:p>
    <w:p>
      <w:pPr>
        <w:autoSpaceDN w:val="0"/>
        <w:autoSpaceDE w:val="0"/>
        <w:widowControl/>
        <w:spacing w:line="254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debt-to-asset ratio is a financial ratio that indicates the percentage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that are provided through debt.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Includes common equity as debt.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Includes common equity as an asset.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432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Q.1994 Simon Belfast, an equity analyst, is analyzing two market leaders (Sun Corp. &amp; Moon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Inc.) in the automotive industry. Using the data given in the following table, determine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is more liquid based on current ratios.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7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23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Sun Corp.</w:t>
            </w:r>
          </w:p>
        </w:tc>
        <w:tc>
          <w:tcPr>
            <w:tcW w:type="dxa" w:w="1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Moon Inc.</w:t>
            </w:r>
          </w:p>
        </w:tc>
      </w:tr>
      <w:tr>
        <w:trPr>
          <w:trHeight w:hRule="exact" w:val="1120"/>
        </w:trPr>
        <w:tc>
          <w:tcPr>
            <w:tcW w:type="dxa" w:w="23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Marketable securities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PP&amp;E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650,000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410,000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240,000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1,300,000</w:t>
            </w:r>
          </w:p>
        </w:tc>
      </w:tr>
      <w:tr>
        <w:trPr>
          <w:trHeight w:hRule="exact" w:val="870"/>
        </w:trPr>
        <w:tc>
          <w:tcPr>
            <w:tcW w:type="dxa" w:w="23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Short-term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Long-term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Common equity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28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500,000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1,800,000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Sun Corp is more liquid because its current ratio is 2.83.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Moon Inc. is more liquid because its current Ratio is 4.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Moon Inc. is more liquid because its current ratio is 2.83.</w:t>
      </w:r>
    </w:p>
    <w:p>
      <w:pPr>
        <w:autoSpaceDN w:val="0"/>
        <w:autoSpaceDE w:val="0"/>
        <w:widowControl/>
        <w:spacing w:line="242" w:lineRule="auto" w:before="244" w:after="8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9" w:lineRule="auto" w:before="0" w:after="0"/>
        <w:ind w:left="1914" w:right="0" w:firstLine="11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ratio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Sun Corp's current ratio =</w:t>
      </w:r>
    </w:p>
    <w:p>
      <w:pPr>
        <w:autoSpaceDN w:val="0"/>
        <w:autoSpaceDE w:val="0"/>
        <w:widowControl/>
        <w:spacing w:line="262" w:lineRule="auto" w:before="286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Moon Inc's current ratio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4646" w:space="0"/>
            <w:col w:w="5352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6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assets</w:t>
      </w:r>
    </w:p>
    <w:p>
      <w:pPr>
        <w:autoSpaceDN w:val="0"/>
        <w:autoSpaceDE w:val="0"/>
        <w:widowControl/>
        <w:spacing w:line="242" w:lineRule="auto" w:before="46" w:after="0"/>
        <w:ind w:left="4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liabiliti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</w:t>
      </w:r>
    </w:p>
    <w:p>
      <w:pPr>
        <w:autoSpaceDN w:val="0"/>
        <w:tabs>
          <w:tab w:pos="908" w:val="left"/>
          <w:tab w:pos="2708" w:val="left"/>
        </w:tabs>
        <w:autoSpaceDE w:val="0"/>
        <w:widowControl/>
        <w:spacing w:line="245" w:lineRule="auto" w:before="0" w:after="0"/>
        <w:ind w:left="48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250, 000 + 380, 000 + 220, 000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2.83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300, 000</w:t>
      </w:r>
    </w:p>
    <w:p>
      <w:pPr>
        <w:autoSpaceDN w:val="0"/>
        <w:tabs>
          <w:tab w:pos="908" w:val="left"/>
          <w:tab w:pos="2708" w:val="left"/>
        </w:tabs>
        <w:autoSpaceDE w:val="0"/>
        <w:widowControl/>
        <w:spacing w:line="245" w:lineRule="auto" w:before="0" w:after="406"/>
        <w:ind w:left="4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410, 000 + 240, 000 + 550, 000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300, 000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4646" w:space="0"/>
            <w:col w:w="5352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Moon Inc. is more liquid than Sun Corp.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Sun Corp cannot be more liquid than Moon Inc. since it has a lower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current ratio of Moon Inc. is 4.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Q.1995 Which of the following is most likely a conservative liquidity ratio?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Quick Ratio.</w:t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72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Current Ratio.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28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ratio is the most stringent and conservative of the three short-term liquidity ratios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(current, quick, and cash). It only looks at the most liquid short-term assets of the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those that can be used most easily to pay off current obligations. Formally, cash 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defined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4.0" w:type="dxa"/>
      </w:tblPr>
      <w:tblGrid>
        <w:gridCol w:w="4999"/>
        <w:gridCol w:w="4999"/>
      </w:tblGrid>
      <w:tr>
        <w:trPr>
          <w:trHeight w:hRule="exact" w:val="336"/>
        </w:trPr>
        <w:tc>
          <w:tcPr>
            <w:tcW w:type="dxa" w:w="2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ratio </w:t>
            </w:r>
          </w:p>
        </w:tc>
        <w:tc>
          <w:tcPr>
            <w:tcW w:type="dxa" w:w="4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+ Marketable securities</w:t>
            </w:r>
          </w:p>
        </w:tc>
      </w:tr>
      <w:tr>
        <w:trPr>
          <w:trHeight w:hRule="exact" w:val="298"/>
        </w:trPr>
        <w:tc>
          <w:tcPr>
            <w:tcW w:type="dxa" w:w="2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liabilities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quick ratio is more conservative than the current ratio because it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only the more liquid current assets in relation to current liabilities. Quick ratio is defined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4.0" w:type="dxa"/>
      </w:tblPr>
      <w:tblGrid>
        <w:gridCol w:w="4999"/>
        <w:gridCol w:w="4999"/>
      </w:tblGrid>
      <w:tr>
        <w:trPr>
          <w:trHeight w:hRule="exact" w:val="336"/>
        </w:trPr>
        <w:tc>
          <w:tcPr>
            <w:tcW w:type="dxa" w:w="2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Quick Ratio </w:t>
            </w:r>
          </w:p>
        </w:tc>
        <w:tc>
          <w:tcPr>
            <w:tcW w:type="dxa" w:w="6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+ Short term marketable investments + Receivables</w:t>
            </w:r>
          </w:p>
        </w:tc>
      </w:tr>
      <w:tr>
        <w:trPr>
          <w:trHeight w:hRule="exact" w:val="298"/>
        </w:trPr>
        <w:tc>
          <w:tcPr>
            <w:tcW w:type="dxa" w:w="2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8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liabilities</w:t>
            </w:r>
          </w:p>
        </w:tc>
      </w:tr>
    </w:tbl>
    <w:p>
      <w:pPr>
        <w:autoSpaceDN w:val="0"/>
        <w:autoSpaceDE w:val="0"/>
        <w:widowControl/>
        <w:spacing w:line="242" w:lineRule="auto" w:before="3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Current ratio is defined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999"/>
        <w:gridCol w:w="4999"/>
      </w:tblGrid>
      <w:tr>
        <w:trPr>
          <w:trHeight w:hRule="exact" w:val="376"/>
        </w:trPr>
        <w:tc>
          <w:tcPr>
            <w:tcW w:type="dxa" w:w="3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Ratio </w:t>
            </w:r>
          </w:p>
        </w:tc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(Current assets)</w:t>
            </w:r>
          </w:p>
        </w:tc>
      </w:tr>
      <w:tr>
        <w:trPr>
          <w:trHeight w:hRule="exact" w:val="318"/>
        </w:trPr>
        <w:tc>
          <w:tcPr>
            <w:tcW w:type="dxa" w:w="3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(Current liabilities)</w:t>
            </w:r>
          </w:p>
        </w:tc>
      </w:tr>
    </w:tbl>
    <w:p>
      <w:pPr>
        <w:autoSpaceDN w:val="0"/>
        <w:autoSpaceDE w:val="0"/>
        <w:widowControl/>
        <w:spacing w:line="24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Intuitively, the current ratio is less conservative compared with the cash ratio.</w:t>
      </w:r>
    </w:p>
    <w:p>
      <w:pPr>
        <w:autoSpaceDN w:val="0"/>
        <w:autoSpaceDE w:val="0"/>
        <w:widowControl/>
        <w:spacing w:line="242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  <w:u w:val="single"/>
        </w:rPr>
        <w:t>More Information</w:t>
      </w:r>
    </w:p>
    <w:p>
      <w:pPr>
        <w:autoSpaceDN w:val="0"/>
        <w:autoSpaceDE w:val="0"/>
        <w:widowControl/>
        <w:spacing w:line="264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ratio is a liquidity ratio that measures a company's ability to pay its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 with its most liquid assets, which are cash and cash equivalents. This ratio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to be the most stringent and conservative measure of a company's liquidity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takes into account the most liquid assets, which are easily convertible into cash. The quick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ratio, also known as the acid-test ratio, is similar to the cash ratio, but it also includes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that can be easily sold for cash within 90 days.</w:t>
      </w:r>
    </w:p>
    <w:p>
      <w:pPr>
        <w:autoSpaceDN w:val="0"/>
        <w:autoSpaceDE w:val="0"/>
        <w:widowControl/>
        <w:spacing w:line="264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ratio is a more comprehensive measure of a company's liquidity that takes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both its current assets and current liabilities. This ratio provides a more comprehensive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view of a company's financial position, but it is not as stringent as the cash ratio. In conclusion,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ratio is considered to be the most conservative liquidity ratio because it only takes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the most liquid assets, which provides a more stringent measure of a company's 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meet its short-term obligations.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43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Q.3811 In 2018, the cash, quick and current ratios of a company were 2.09, 3.10, and 2.29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respectively. Below is select information from the balance sheet of the Company in 2019.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 the ratio that most likely decreased.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4.0" w:type="dxa"/>
      </w:tblPr>
      <w:tblGrid>
        <w:gridCol w:w="4999"/>
        <w:gridCol w:w="4999"/>
      </w:tblGrid>
      <w:tr>
        <w:trPr>
          <w:trHeight w:hRule="exact" w:val="270"/>
        </w:trPr>
        <w:tc>
          <w:tcPr>
            <w:tcW w:type="dxa" w:w="34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Amount in Millions</w:t>
            </w:r>
          </w:p>
        </w:tc>
      </w:tr>
      <w:tr>
        <w:trPr>
          <w:trHeight w:hRule="exact" w:val="280"/>
        </w:trPr>
        <w:tc>
          <w:tcPr>
            <w:tcW w:type="dxa" w:w="34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and Cash Equivalents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102.0</w:t>
            </w:r>
          </w:p>
        </w:tc>
      </w:tr>
      <w:tr>
        <w:trPr>
          <w:trHeight w:hRule="exact" w:val="280"/>
        </w:trPr>
        <w:tc>
          <w:tcPr>
            <w:tcW w:type="dxa" w:w="34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Marketable Securities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369.5</w:t>
            </w:r>
          </w:p>
        </w:tc>
      </w:tr>
      <w:tr>
        <w:trPr>
          <w:trHeight w:hRule="exact" w:val="280"/>
        </w:trPr>
        <w:tc>
          <w:tcPr>
            <w:tcW w:type="dxa" w:w="34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Receivables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13.5</w:t>
            </w:r>
          </w:p>
        </w:tc>
      </w:tr>
      <w:tr>
        <w:trPr>
          <w:trHeight w:hRule="exact" w:val="280"/>
        </w:trPr>
        <w:tc>
          <w:tcPr>
            <w:tcW w:type="dxa" w:w="34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Other Current Assets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123</w:t>
            </w:r>
          </w:p>
        </w:tc>
      </w:tr>
      <w:tr>
        <w:trPr>
          <w:trHeight w:hRule="exact" w:val="280"/>
        </w:trPr>
        <w:tc>
          <w:tcPr>
            <w:tcW w:type="dxa" w:w="34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Current Assets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608</w:t>
            </w:r>
          </w:p>
        </w:tc>
      </w:tr>
      <w:tr>
        <w:trPr>
          <w:trHeight w:hRule="exact" w:val="280"/>
        </w:trPr>
        <w:tc>
          <w:tcPr>
            <w:tcW w:type="dxa" w:w="34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Accrued Interests and Expenses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92.0</w:t>
            </w:r>
          </w:p>
        </w:tc>
      </w:tr>
      <w:tr>
        <w:trPr>
          <w:trHeight w:hRule="exact" w:val="280"/>
        </w:trPr>
        <w:tc>
          <w:tcPr>
            <w:tcW w:type="dxa" w:w="34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Other Current Liabilities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103.0</w:t>
            </w:r>
          </w:p>
        </w:tc>
      </w:tr>
      <w:tr>
        <w:trPr>
          <w:trHeight w:hRule="exact" w:val="290"/>
        </w:trPr>
        <w:tc>
          <w:tcPr>
            <w:tcW w:type="dxa" w:w="34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Current Liabilities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195.0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Quick Ratio,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Current Ratio.</w:t>
      </w:r>
    </w:p>
    <w:p>
      <w:pPr>
        <w:autoSpaceDN w:val="0"/>
        <w:autoSpaceDE w:val="0"/>
        <w:widowControl/>
        <w:spacing w:line="242" w:lineRule="auto" w:before="244" w:after="8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32" w:lineRule="auto" w:before="0" w:after="0"/>
        <w:ind w:left="1728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Ratio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 Ratio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Ratio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3517" w:space="0"/>
            <w:col w:w="6480" w:space="0"/>
          </w:cols>
          <w:docGrid w:linePitch="360"/>
        </w:sectPr>
      </w:pPr>
    </w:p>
    <w:p>
      <w:pPr>
        <w:autoSpaceDN w:val="0"/>
        <w:tabs>
          <w:tab w:pos="96" w:val="left"/>
          <w:tab w:pos="356" w:val="left"/>
          <w:tab w:pos="1376" w:val="left"/>
        </w:tabs>
        <w:autoSpaceDE w:val="0"/>
        <w:widowControl/>
        <w:spacing w:line="259" w:lineRule="auto" w:before="0" w:after="372"/>
        <w:ind w:left="36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Cash+Marketable Securities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Liabilities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Cash+Marketable Securities+Accounts Receivables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Liabilities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Assets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Liabiliti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3517" w:space="0"/>
            <w:col w:w="64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14.0" w:type="dxa"/>
      </w:tblPr>
      <w:tblGrid>
        <w:gridCol w:w="2499"/>
        <w:gridCol w:w="2499"/>
        <w:gridCol w:w="2499"/>
        <w:gridCol w:w="2499"/>
      </w:tblGrid>
      <w:tr>
        <w:trPr>
          <w:trHeight w:hRule="exact" w:val="270"/>
        </w:trPr>
        <w:tc>
          <w:tcPr>
            <w:tcW w:type="dxa" w:w="15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Year</w:t>
            </w:r>
          </w:p>
        </w:tc>
        <w:tc>
          <w:tcPr>
            <w:tcW w:type="dxa" w:w="16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Previous Year</w:t>
            </w:r>
          </w:p>
        </w:tc>
        <w:tc>
          <w:tcPr>
            <w:tcW w:type="dxa" w:w="9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Change</w:t>
            </w:r>
          </w:p>
        </w:tc>
      </w:tr>
      <w:tr>
        <w:trPr>
          <w:trHeight w:hRule="exact" w:val="280"/>
        </w:trPr>
        <w:tc>
          <w:tcPr>
            <w:tcW w:type="dxa" w:w="1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Ratio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2.42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2.09</w:t>
            </w:r>
          </w:p>
        </w:tc>
        <w:tc>
          <w:tcPr>
            <w:tcW w:type="dxa" w:w="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+0.33</w:t>
            </w:r>
          </w:p>
        </w:tc>
      </w:tr>
      <w:tr>
        <w:trPr>
          <w:trHeight w:hRule="exact" w:val="280"/>
        </w:trPr>
        <w:tc>
          <w:tcPr>
            <w:tcW w:type="dxa" w:w="15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Quick Ratio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2.49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3.10</w:t>
            </w:r>
          </w:p>
        </w:tc>
        <w:tc>
          <w:tcPr>
            <w:tcW w:type="dxa" w:w="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−0.61</w:t>
            </w:r>
          </w:p>
        </w:tc>
      </w:tr>
      <w:tr>
        <w:trPr>
          <w:trHeight w:hRule="exact" w:val="290"/>
        </w:trPr>
        <w:tc>
          <w:tcPr>
            <w:tcW w:type="dxa" w:w="15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Ratio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3.12</w:t>
            </w:r>
          </w:p>
        </w:tc>
        <w:tc>
          <w:tcPr>
            <w:tcW w:type="dxa" w:w="16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2.29</w:t>
            </w:r>
          </w:p>
        </w:tc>
        <w:tc>
          <w:tcPr>
            <w:tcW w:type="dxa" w:w="9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+0.83</w:t>
            </w:r>
          </w:p>
        </w:tc>
      </w:tr>
    </w:tbl>
    <w:p>
      <w:pPr>
        <w:autoSpaceDN w:val="0"/>
        <w:autoSpaceDE w:val="0"/>
        <w:widowControl/>
        <w:spacing w:line="242" w:lineRule="auto" w:before="39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current ratio has increased by 0.83.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cash ratio has increased by 0.33.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171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Q.3812 Calculate the financial leverage of a company based on the data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54.0" w:type="dxa"/>
      </w:tblPr>
      <w:tblGrid>
        <w:gridCol w:w="4999"/>
        <w:gridCol w:w="4999"/>
      </w:tblGrid>
      <w:tr>
        <w:trPr>
          <w:trHeight w:hRule="exact" w:val="290"/>
        </w:trPr>
        <w:tc>
          <w:tcPr>
            <w:tcW w:type="dxa" w:w="21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Working Capital</w:t>
            </w:r>
          </w:p>
        </w:tc>
        <w:tc>
          <w:tcPr>
            <w:tcW w:type="dxa" w:w="1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 Million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Non-Current Assets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$245 Million</w:t>
            </w:r>
          </w:p>
        </w:tc>
      </w:tr>
      <w:tr>
        <w:trPr>
          <w:trHeight w:hRule="exact" w:val="280"/>
        </w:trPr>
        <w:tc>
          <w:tcPr>
            <w:tcW w:type="dxa" w:w="21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Equity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$180 Million</w:t>
            </w:r>
          </w:p>
        </w:tc>
      </w:tr>
      <w:tr>
        <w:trPr>
          <w:trHeight w:hRule="exact" w:val="290"/>
        </w:trPr>
        <w:tc>
          <w:tcPr>
            <w:tcW w:type="dxa" w:w="21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Current Ratio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</w:t>
            </w:r>
          </w:p>
        </w:tc>
      </w:tr>
    </w:tbl>
    <w:p>
      <w:pPr>
        <w:autoSpaceDN w:val="0"/>
        <w:autoSpaceDE w:val="0"/>
        <w:widowControl/>
        <w:spacing w:line="432" w:lineRule="auto" w:before="414" w:after="606"/>
        <w:ind w:left="0" w:right="749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0.78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1.36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2.14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566"/>
        </w:trPr>
        <w:tc>
          <w:tcPr>
            <w:tcW w:type="dxa" w:w="2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0" w:after="0"/>
              <w:ind w:left="0" w:right="6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Ratio =</w:t>
            </w:r>
          </w:p>
        </w:tc>
        <w:tc>
          <w:tcPr>
            <w:tcW w:type="dxa" w:w="3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" w:val="left"/>
              </w:tabs>
              <w:autoSpaceDE w:val="0"/>
              <w:widowControl/>
              <w:spacing w:line="264" w:lineRule="auto" w:before="52" w:after="0"/>
              <w:ind w:left="1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Assets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Liabiliti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</w:t>
            </w:r>
          </w:p>
        </w:tc>
        <w:tc>
          <w:tcPr>
            <w:tcW w:type="dxa" w:w="5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6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10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Working Capital = Current Assets-Current Liabilities</w:t>
            </w:r>
          </w:p>
        </w:tc>
        <w:tc>
          <w:tcPr>
            <w:tcW w:type="dxa" w:w="2000"/>
            <w:vMerge/>
            <w:tcBorders>
              <w:bottom w:sz="8.0" w:val="single" w:color="#282D35"/>
            </w:tcBorders>
          </w:tcPr>
          <w:p/>
        </w:tc>
        <w:tc>
          <w:tcPr>
            <w:tcW w:type="dxa" w:w="2000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500"/>
        </w:trPr>
        <w:tc>
          <w:tcPr>
            <w:tcW w:type="dxa" w:w="2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6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Ratio =</w:t>
            </w:r>
          </w:p>
        </w:tc>
        <w:tc>
          <w:tcPr>
            <w:tcW w:type="dxa" w:w="3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" w:val="left"/>
                <w:tab w:pos="1730" w:val="left"/>
              </w:tabs>
              <w:autoSpaceDE w:val="0"/>
              <w:widowControl/>
              <w:spacing w:line="245" w:lineRule="auto" w:before="0" w:after="0"/>
              <w:ind w:left="1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Assets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Liabiliti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</w:t>
            </w:r>
          </w:p>
        </w:tc>
        <w:tc>
          <w:tcPr>
            <w:tcW w:type="dxa" w:w="2000"/>
            <w:vMerge/>
            <w:tcBorders>
              <w:bottom w:sz="8.0" w:val="single" w:color="#282D35"/>
            </w:tcBorders>
          </w:tcPr>
          <w:p/>
        </w:tc>
        <w:tc>
          <w:tcPr>
            <w:tcW w:type="dxa" w:w="2000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70"/>
        </w:trPr>
        <w:tc>
          <w:tcPr>
            <w:tcW w:type="dxa" w:w="2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6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Liabilities =</w:t>
            </w:r>
          </w:p>
        </w:tc>
        <w:tc>
          <w:tcPr>
            <w:tcW w:type="dxa" w:w="393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Assets</w:t>
            </w:r>
          </w:p>
        </w:tc>
        <w:tc>
          <w:tcPr>
            <w:tcW w:type="dxa" w:w="2000"/>
            <w:vMerge/>
            <w:tcBorders>
              <w:bottom w:sz="8.0" w:val="single" w:color="#282D35"/>
            </w:tcBorders>
          </w:tcPr>
          <w:p/>
        </w:tc>
        <w:tc>
          <w:tcPr>
            <w:tcW w:type="dxa" w:w="2000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50"/>
        </w:trPr>
        <w:tc>
          <w:tcPr>
            <w:tcW w:type="dxa" w:w="2000"/>
            <w:vMerge/>
            <w:tcBorders/>
          </w:tcPr>
          <w:p/>
        </w:tc>
        <w:tc>
          <w:tcPr>
            <w:tcW w:type="dxa" w:w="393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45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2.00</w:t>
            </w:r>
          </w:p>
        </w:tc>
        <w:tc>
          <w:tcPr>
            <w:tcW w:type="dxa" w:w="5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Working Capital = Current Assets-Current Liabilities</w:t>
            </w:r>
          </w:p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70"/>
        </w:trPr>
        <w:tc>
          <w:tcPr>
            <w:tcW w:type="dxa" w:w="4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 = Current Assets −</w:t>
            </w:r>
          </w:p>
        </w:tc>
        <w:tc>
          <w:tcPr>
            <w:tcW w:type="dxa" w:w="2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Assets</w:t>
            </w:r>
          </w:p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30"/>
        </w:trPr>
        <w:tc>
          <w:tcPr>
            <w:tcW w:type="dxa" w:w="4000"/>
            <w:gridSpan w:val="2"/>
            <w:vMerge/>
            <w:tcBorders/>
          </w:tcPr>
          <w:p/>
        </w:tc>
        <w:tc>
          <w:tcPr>
            <w:tcW w:type="dxa" w:w="2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4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5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140</w:t>
            </w:r>
          </w:p>
        </w:tc>
        <w:tc>
          <w:tcPr>
            <w:tcW w:type="dxa" w:w="12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9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70</w:t>
            </w:r>
          </w:p>
        </w:tc>
      </w:tr>
      <w:tr>
        <w:trPr>
          <w:trHeight w:hRule="exact" w:val="320"/>
        </w:trPr>
        <w:tc>
          <w:tcPr>
            <w:tcW w:type="dxa" w:w="6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Assets = 140</w:t>
            </w:r>
          </w:p>
        </w:tc>
        <w:tc>
          <w:tcPr>
            <w:tcW w:type="dxa" w:w="2000"/>
            <w:vMerge/>
            <w:tcBorders>
              <w:top w:sz="8.0" w:val="single" w:color="#282D35"/>
            </w:tcBorders>
          </w:tcPr>
          <w:p/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160"/>
        </w:trPr>
        <w:tc>
          <w:tcPr>
            <w:tcW w:type="dxa" w:w="68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7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Liabilities = 140 −70 = 70 or Current Liabilities = </w:t>
            </w:r>
          </w:p>
        </w:tc>
        <w:tc>
          <w:tcPr>
            <w:tcW w:type="dxa" w:w="2000"/>
            <w:vMerge/>
            <w:tcBorders>
              <w:top w:sz="8.0" w:val="single" w:color="#282D35"/>
            </w:tcBorders>
          </w:tcPr>
          <w:p/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20"/>
        </w:trPr>
        <w:tc>
          <w:tcPr>
            <w:tcW w:type="dxa" w:w="6000"/>
            <w:gridSpan w:val="3"/>
            <w:vMerge/>
            <w:tcBorders/>
          </w:tcPr>
          <w:p/>
        </w:tc>
        <w:tc>
          <w:tcPr>
            <w:tcW w:type="dxa" w:w="5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350"/>
        </w:trPr>
        <w:tc>
          <w:tcPr>
            <w:tcW w:type="dxa" w:w="2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auto" w:before="214" w:after="0"/>
              <w:ind w:left="7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Financial Leverage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Financial Leverage =</w:t>
            </w:r>
          </w:p>
        </w:tc>
        <w:tc>
          <w:tcPr>
            <w:tcW w:type="dxa" w:w="393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1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2000"/>
            <w:vMerge/>
            <w:tcBorders>
              <w:bottom w:sz="8.0" w:val="single" w:color="#282D35"/>
            </w:tcBorders>
          </w:tcPr>
          <w:p/>
        </w:tc>
        <w:tc>
          <w:tcPr>
            <w:tcW w:type="dxa" w:w="2000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838"/>
        </w:trPr>
        <w:tc>
          <w:tcPr>
            <w:tcW w:type="dxa" w:w="2000"/>
            <w:vMerge/>
            <w:tcBorders/>
          </w:tcPr>
          <w:p/>
        </w:tc>
        <w:tc>
          <w:tcPr>
            <w:tcW w:type="dxa" w:w="393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1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Equity</w:t>
            </w:r>
          </w:p>
          <w:p>
            <w:pPr>
              <w:autoSpaceDN w:val="0"/>
              <w:tabs>
                <w:tab w:pos="270" w:val="left"/>
                <w:tab w:pos="970" w:val="left"/>
              </w:tabs>
              <w:autoSpaceDE w:val="0"/>
              <w:widowControl/>
              <w:spacing w:line="245" w:lineRule="auto" w:before="0" w:after="0"/>
              <w:ind w:left="10" w:right="216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140 + 245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2.14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</w:t>
            </w:r>
          </w:p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Current assets have been used in place of total assets to calculate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of the Company.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used non-current assets instead of total assets to calculate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17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Q.3814 Select information from a company's 2018 balance sheet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74.0" w:type="dxa"/>
      </w:tblPr>
      <w:tblGrid>
        <w:gridCol w:w="4999"/>
        <w:gridCol w:w="4999"/>
      </w:tblGrid>
      <w:tr>
        <w:trPr>
          <w:trHeight w:hRule="exact" w:val="270"/>
        </w:trPr>
        <w:tc>
          <w:tcPr>
            <w:tcW w:type="dxa" w:w="29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and cash equivalents </w:t>
            </w:r>
          </w:p>
        </w:tc>
        <w:tc>
          <w:tcPr>
            <w:tcW w:type="dxa" w:w="1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 Million</w:t>
            </w:r>
          </w:p>
        </w:tc>
      </w:tr>
      <w:tr>
        <w:trPr>
          <w:trHeight w:hRule="exact" w:val="280"/>
        </w:trPr>
        <w:tc>
          <w:tcPr>
            <w:tcW w:type="dxa" w:w="2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Marketable Securities 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 Million</w:t>
            </w:r>
          </w:p>
        </w:tc>
      </w:tr>
      <w:tr>
        <w:trPr>
          <w:trHeight w:hRule="exact" w:val="280"/>
        </w:trPr>
        <w:tc>
          <w:tcPr>
            <w:tcW w:type="dxa" w:w="2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Accounts Receivables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 Million</w:t>
            </w:r>
          </w:p>
        </w:tc>
      </w:tr>
      <w:tr>
        <w:trPr>
          <w:trHeight w:hRule="exact" w:val="280"/>
        </w:trPr>
        <w:tc>
          <w:tcPr>
            <w:tcW w:type="dxa" w:w="2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Inventories 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$400 Million</w:t>
            </w:r>
          </w:p>
        </w:tc>
      </w:tr>
      <w:tr>
        <w:trPr>
          <w:trHeight w:hRule="exact" w:val="280"/>
        </w:trPr>
        <w:tc>
          <w:tcPr>
            <w:tcW w:type="dxa" w:w="2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Goodwill 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$800 Million</w:t>
            </w:r>
          </w:p>
        </w:tc>
      </w:tr>
      <w:tr>
        <w:trPr>
          <w:trHeight w:hRule="exact" w:val="280"/>
        </w:trPr>
        <w:tc>
          <w:tcPr>
            <w:tcW w:type="dxa" w:w="2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Long Term Debt 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$700 Million</w:t>
            </w:r>
          </w:p>
        </w:tc>
      </w:tr>
      <w:tr>
        <w:trPr>
          <w:trHeight w:hRule="exact" w:val="290"/>
        </w:trPr>
        <w:tc>
          <w:tcPr>
            <w:tcW w:type="dxa" w:w="29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Current Liabilities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$900 Million</w:t>
            </w:r>
          </w:p>
        </w:tc>
      </w:tr>
    </w:tbl>
    <w:p>
      <w:pPr>
        <w:autoSpaceDN w:val="0"/>
        <w:autoSpaceDE w:val="0"/>
        <w:widowControl/>
        <w:spacing w:line="264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current ratio of the company in 2017 was 1.50, its ability to meet its short-term obligations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most likely?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Decreased.</w:t>
      </w:r>
    </w:p>
    <w:p>
      <w:pPr>
        <w:autoSpaceDN w:val="0"/>
        <w:tabs>
          <w:tab w:pos="794" w:val="left"/>
        </w:tabs>
        <w:autoSpaceDE w:val="0"/>
        <w:widowControl/>
        <w:spacing w:line="367" w:lineRule="auto" w:before="246" w:after="606"/>
        <w:ind w:left="14" w:right="67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Remained the same.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4999"/>
        <w:gridCol w:w="4999"/>
      </w:tblGrid>
      <w:tr>
        <w:trPr>
          <w:trHeight w:hRule="exact" w:val="113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9" w:lineRule="auto" w:before="200" w:after="0"/>
              <w:ind w:left="1584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Ratio 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ratio =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Assets</w:t>
            </w:r>
          </w:p>
          <w:p>
            <w:pPr>
              <w:autoSpaceDN w:val="0"/>
              <w:autoSpaceDE w:val="0"/>
              <w:widowControl/>
              <w:spacing w:line="242" w:lineRule="auto" w:before="4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Liabiliti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</w:t>
            </w:r>
          </w:p>
          <w:p>
            <w:pPr>
              <w:autoSpaceDN w:val="0"/>
              <w:tabs>
                <w:tab w:pos="80" w:val="left"/>
                <w:tab w:pos="560" w:val="left"/>
              </w:tabs>
              <w:autoSpaceDE w:val="0"/>
              <w:widowControl/>
              <w:spacing w:line="245" w:lineRule="auto" w:before="0" w:after="0"/>
              <w:ind w:left="40" w:right="216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1.33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900</w:t>
            </w:r>
          </w:p>
        </w:tc>
      </w:tr>
    </w:tbl>
    <w:p>
      <w:pPr>
        <w:autoSpaceDN w:val="0"/>
        <w:autoSpaceDE w:val="0"/>
        <w:widowControl/>
        <w:spacing w:line="259" w:lineRule="auto" w:before="30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ratio of the Company has dropped from 1.50 in 2018 to 1.33 in 2019. A decrease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ratio indicates a lower level of liquidity and, therefore, a reduced ability to meet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short-term obligations.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contradict option B.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3e: calculate and interpret common-size balance sheets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34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Q.3817 Consider the following information of a hypothetical company: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Debt – $30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Liabilities - $20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Equity – $50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Assets –$35 Million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Non-Current Assets – $65 Million</w:t>
      </w:r>
    </w:p>
    <w:p>
      <w:pPr>
        <w:autoSpaceDN w:val="0"/>
        <w:autoSpaceDE w:val="0"/>
        <w:widowControl/>
        <w:spacing w:line="24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financial leverage is closest to 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36"/>
        </w:trPr>
        <w:tc>
          <w:tcPr>
            <w:tcW w:type="dxa" w:w="3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Financial Leverage </w:t>
            </w:r>
          </w:p>
        </w:tc>
        <w:tc>
          <w:tcPr>
            <w:tcW w:type="dxa" w:w="1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19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2.0</w:t>
            </w:r>
          </w:p>
        </w:tc>
      </w:tr>
      <w:tr>
        <w:trPr>
          <w:trHeight w:hRule="exact" w:val="338"/>
        </w:trPr>
        <w:tc>
          <w:tcPr>
            <w:tcW w:type="dxa" w:w="3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Equity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19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2" w:lineRule="auto" w:before="3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Analyzing Balance Sheets, LOS 3e: calculate and interpret common-size balance sheets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and related financial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Q.4653 Under IFRS, the revaluation model for intangible assets can be used if: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asset is internally generated.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asset has a finite useful life.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a readily determinable market value for the asset.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revaluation model allows an intangible asset to be carried at a revalued amount, which is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 at the date of revaluation, less any subsequent accumulated amortization and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subsequent accumulated impairment losses. This model can only be applied if there is an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for the asset, providing a readily determinable market value.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revaluation model is typically not applicable to internally generated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intangible assets, as it is often challenging to determine a fair value for these assets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lack of an active market.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choice of the revaluation model is not dependent on whether the intangible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has a finite or indefinite useful life. Both types of assets can be revalued if there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active market.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3a: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intangible assets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Q.4654 Under US GAAP, which of the following costs associated with internally generated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intangible assets is capitalized?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Advertising expenses.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Research phase expenses.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research phases and advertising expenses are not capitalized.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costs incurred during the research phase and the development phase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internally generated intangible asset are typically expensed as incurred. Capitalizing such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prohibited.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Advertising expenses are also expensed under US GAAP and are not capitalized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part of internally generated intangible assets.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Research phase expenses are expensed as incurred under US GAAP and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capitalized.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3a: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intangible assets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Q.4655 The impairment testing for intangible assets with an indefinite useful life is conducted: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least annually.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only at the time of acquisition.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 a systematic basis over the asset's useful life.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least annually. Intangible assets with an indefinite useful life are not amortized but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to be tested for impairment at least annually or more frequently if events or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circumstances indicate that the asset might be impaired.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an initial impairment test may be conducted at the time of acquisition,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ongoing impairment testing for intangible assets with an indefinite useful life is required at least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annually.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Systematic amortization is not applicable to intangible assets with an indefinite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useful life; therefore, impairment testing is not conducted on a systematic basis over the asset's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useful life.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3a: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intangible assets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Q.4656 Under IFRS, the initial recognition of an internally generated intangible asset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 phase requires all of the following except: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demonstration of the technical feasibility of completing the asset.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evidence of market research confirming the demand for the asset.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ability to measure reliably the expenditure attributable to the asset during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market research may be important for business decision-making, it is not one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criteria listed in IAS 38 for capitalizing costs incurred in the development phase of an internally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generated intangible asset.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Demonstrating the technical feasibility of completing the intangible asset is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criteria required for capitalizing development costs under IFRS.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ability to measure reliably the expenditure attributable to the intangible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during its development is also a required criterion for capitalizing development costs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3a: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intangible assets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Q.4657 Which of the following factors is least likely to be considered in the valuation of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goodwill?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Customer loyalty.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Management expertise.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Book value of tangible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goodwill pertains to intangible aspects that enhance a business's value beyond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tangible assets and liabilities. While customer loyalty and management expertise are intangible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contributing to economic goodwill, the book value of tangible assets is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related to the valuation of economic goodwill.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Customer loyalty is an intangible factor that contributes to a business's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 future profits, making it a key component of economic goodwill.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Management expertise is another intangible factor that can enhance a business's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by improving operational efficiency and strategic decision-making, thus contributing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goodwill.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3b: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goodwill.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Q.4658 In the context of goodwill impairment testing, which of the following statements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Goodwill impairment losses are amortized over the remaining useful life of the asset.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Goodwill impairment is tested by comparing the carrying amount of the reporting unit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its recoverable amount.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Goodwill impairment testing is performed only when there is a significant decline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 value of the company.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Goodwill impairment is tested by comparing the carrying amount of the reporting unit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recoverable amount. Under both IFRS and US GAAP, the impairment test involves comparing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carrying amount of the reporting unit, including goodwill, to its recoverable amount (the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its fair value, less costs to sell, and its value in use). If the carrying amount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recoverable amount, an impairment loss is recognized.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Goodwill impairment losses are not amortized. Once recognized, an impairment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 reduces the carrying amount of goodwill and is not subsequently reversed.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 decline in market value may trigger an impairment test, goodwill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impairment testing is required annually, regardless of changes in market value. It may also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performed more frequently if there are indications of impairment.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3,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3b: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goodwill.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Q.4659 When assessing the fair value of net identifiable assets in a business combination,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following is least likely to be included?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Contingent liabilities.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Future revenue projections.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Recognized intangible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business combination, the fair value of net identifiable assets includes recognized 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intangible assets and liabilities, including contingent liabilities. However, future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projections are not considered identifiable assets and are not included in the fair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assessment.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Contingent liabilities, such as potential legal settlements, are assessed at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 value and included in the measurement of net identifiable assets in a business combination.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Recognized intangible assets, such as patents and trademarks, are included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fair value measurement of net identifiable assets in a business combination.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3b: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goodwill.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Q.4660 Which of the following is least likely a reason for analysts to exclude goodwill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 data when adjusting financial statements?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simplify the calculation of financial ratios.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eliminate the effects of non-cash expenses related to goodwill impairment.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assess the company's financial position based on its tangible assets and equity.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analysts exclude goodwill from balance sheet data, it is typically to analyze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position and performance based on its tangible assets and equity, not to address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expenses. Non-cash expenses related to goodwill impairment are more relevant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adjustments made to income data, not balance sheet data.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Simplifying the calculation of financial ratios is not the primary reason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excluding goodwill from balance sheet data. The main purpose is to gain insights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financial position based on tangible assets.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Excluding goodwill from balance sheet data is often done to focus the analysis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tangible assets and equity, providing a clearer picture of its financial position.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3b: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goodwill.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Q.4662 In the context of IFRS, which of the following best describes the measurement basis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derivative instrument?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Fair value, with changes recognized in profit or loss.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Amortized cost, adjusted for changes in the entity's credit risk.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Fair value, with changes recognized in other comprehensive income.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 financial instruments are typically measured at fair value, with changes in fair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recognized in the income statement. This treatment reflects the volatile nature of derivatives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potential impact on the entity's financial position and performance.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Amortized cost is not a suitable measurement basis for derivatives, as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capture changes in their fair value. Additionally, adjustments for changes in the entity's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are more relevant to the fair value measurement of non-derivative financial liabilities.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some financial instruments can be measured at fair value through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income, derivative financial instruments are generally not eligible for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treatment under IFRS due to their speculative nature and the need for timely recognition of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changes.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3c: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financial instruments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Q.4663 Which of the following scenarios would most likely result in a financial asset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reclassified from measured at fair value through profit or loss to measured at amortized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IFRS?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financial asset is a derivative instrument used for hedging purposes.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financial asset is an equity instrument, and the entity decides to hold it for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strategic purposes.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financial asset is a debt instrument, and the business model changes to holding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 to collect contractual cash flows until maturity.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a debt instrument can be reclassified from fair value through profit or loss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amortized cost if there is a change in the business model for managing the financial asset.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reclassification reflects the entity's revised intention and strategy for the asset.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Derivative instruments used for hedging purposes are subject to specific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rules under IFRS, which differ from the measurement categories of fair value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 or loss and amortized cost.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Equity instruments are generally not reclassified from fair value through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loss to amortized cost under IFRS, as the fair value measurement provides more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for equity investments that are subject to market price fluctuations.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3c: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financial instruments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Q.4665 Under US GAAP, which of the following statements about the classification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is most 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 securities intended to be held to maturity are classified as trading securities.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Equity investments that provide significant influence are measured at fair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 profit or loss.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Trading securities are acquired with the intention of selling them in the near term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measured at fair value through profit or loss.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securities are acquired with the intention of selling them in the near term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measured at fair value through profit or loss. This classification is for both debt and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that are bought and held primarily for sale in the short term. Unrealized gains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losses on trading securities are recognized in the income statement.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Debt securities intended to be held to maturity are classified as "held-to-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maturity" securities under US GAAP, not as trading securities. They are measured at amortized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Equity investments that provide significant influence over the investee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generally not measured at fair value through profit or loss.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3c: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financial instruments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Q.4666 How does the issuance of a bond at par value affect the company's financial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the life of the bond?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carrying amount of the bond liability remains constant throughout its life.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interest expense decreases over time due to the amortization of the discount.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carrying amount of the bond liability fluctuates based on changes 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carrying amount of the bond liability remains constant throughout its life. When a bond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issued at par value, there is no discount or premium to amortize, so the carrying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(amortized cost) of the bond remains equal to its face value from issuance to maturity.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Since the bond is issued at par value, there is no discount to amortize,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expense remains constant over the life of the bond, based on the stated interest rate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face value.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bonds reported at amortized cost, the carrying amount does not fluctuate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changes in market interest rates. This characteristic is more applicable to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reported at fair value.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3d: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non-current liabilities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Q.4667 In the context of deferred tax liabilities, which of the following situations is most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 in a larger deferred tax liability over time?</w:t>
      </w:r>
    </w:p>
    <w:p>
      <w:pPr>
        <w:autoSpaceDN w:val="0"/>
        <w:autoSpaceDE w:val="0"/>
        <w:widowControl/>
        <w:spacing w:line="242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company consistently reports higher taxable income than accounting income.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company recognizes revenue in the same period for both tax and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company applies straight-line depreciation for tax purposes and accelerated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for financial reporting purposes.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applies straight-line depreciation for tax purposes and accelerated depreciation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purposes. This situation leads to lower taxable income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income in the early years, resulting in deferred tax liabilities that grow over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until the depreciation methods converge.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Consistently reporting higher taxable income than accounting income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generally lead to deferred tax assets, not liabilities.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Recognizing revenue in the same period for both tax and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purposes would not create significant temporary differences and, thus, would not likely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large, deferred tax liability.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3d: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non-current liabilities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Q.4668 Which of the following scenarios would least likely result in the creation of a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liability?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company uses different methods for inventory valuation for tax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 purposes.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company recognizes dividends from a subsidiary in its financial statements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they are received.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company incurs expenses that are deductible for tax purposes in a different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they are recognized for financial reporting purposes.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recognizes dividends from a subsidiary in its financial statements only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received, it may result in a deferred tax asset if the dividends are taxable before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recognized in the financial statements.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Using different methods for inventory valuation for tax and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purposes can create temporary differences that lead to deferred tax liabilities.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Incurring expenses that are deductible for tax purposes in a different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they are recognized for financial reporting purposes can also create temporary differences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result in deferred tax liabilities.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3 – Financial Statement Analysis, Learning Module 3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Balance Sheets, LOS 3d: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non-current liabilities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