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5: Analyzing Statements of Cash Flows 2</w:t>
      </w:r>
    </w:p>
    <w:p>
      <w:pPr>
        <w:autoSpaceDN w:val="0"/>
        <w:autoSpaceDE w:val="0"/>
        <w:widowControl/>
        <w:spacing w:line="242" w:lineRule="auto" w:before="358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Q.476 Which of the following is most likely a coverage ratio?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Reinvestment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Cash to income ratio.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Cash return on assets.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Coverage ratios are financial metrics used to evaluate a company's ability to service its debt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meet its financial obligations. Among the options provided, the Cash to income ratio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closely aligned with the concept of a coverage ratio. This ratio specifically measures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ability to cover its obligations with its operating cash flows, making it a direct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indicator of financial health and stability in terms of covering debts and other obligations.</w:t>
      </w:r>
    </w:p>
    <w:p>
      <w:pPr>
        <w:autoSpaceDN w:val="0"/>
        <w:autoSpaceDE w:val="0"/>
        <w:widowControl/>
        <w:spacing w:line="264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Reinvestment ratio, while important for understanding a company's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sustainability by indicating how much of its cash flow is reinvested back into the business,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directly measure the company's ability to cover its debt or financial obligations.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more closely related to growth and capital allocation strategies rather than coverage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capabilities. Therefore, it does not fit the definition of a coverage ratio as well as the Cash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income ratio does.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Cash return on assets ratio measures the efficiency with which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generates cash flow from its assets. While this is an important indicator of operational efficiency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can indirectly affect a company's ability to cover its debts by generating more cash, it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direct measure of the company's ability to meet its financial obligations. Coverage ratios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specifically assess the ability to pay interest, principal, or other obligations, making the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on assets ratio less relevant in this context compared to the Cash to income ratio.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8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Q.2088 Free cash flow for the firm (FCFF) is most likely available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debt 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equity holders.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debt holders and equity holders.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4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to the Firm (FCFF) represents the cash that a company generates after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accounting for cash outflows to support operations and maintain its capital assets. This metric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crucial as it indicates the amount of cash available to return to the company's capital providers,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include both debt holders and equity holders. FCFF is an important measure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provides a clear picture of a company's financial health and its ability to generate cash from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after making necessary investments in the business. It is a key indicator used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investors to assess the value of a company and its ability to generate cash that can be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pay dividends, buy back shares, or reduce debt.</w:t>
      </w:r>
    </w:p>
    <w:p>
      <w:pPr>
        <w:autoSpaceDN w:val="0"/>
        <w:autoSpaceDE w:val="0"/>
        <w:widowControl/>
        <w:spacing w:line="264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debt holders are indeed entitled to a portion of the FCFF in the form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interest payments and principal repayments, they are not the sole beneficiaries. FCFF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broader measure that encompasses the cash available to all capital providers, including both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debt and equity holders. Limiting the availability of FCFF to only debt holders overlooks the fact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equity holders are also entitled to the company's residual cash flows after meeting its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64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perspective neglects the priority claim that debt holders have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cash flows. Before equity holders can lay claim to any of the company's cash flows,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must first meet its obligations to debt holders, such as interest payments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principal repayments. Therefore, stating that FCFF is available only to equity holders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accurately reflect the distribution hierarchy of a company's cash flows. FCFF is meant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the total pool of cash that can be distributed among all capital providers, not just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equity holders.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145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Q.2089 Which of the following is the most appropriate equation for calculating Free Cash flow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Equity (FCFE)?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FCFE = CFO - Fixed capital expenditure + Net borrowing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FCFE = CFO + Interest×(1 - Tax rate) - Fixed Capital Expenditure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FCFE = CFO + Interest×(1- Tax rate) - Fixed capital expenditure + Net borrowing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Free Cash Flow to Equity (FCFE) is a measure of how much cash is available to the equity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shareholders of a company after all expenses, reinvestment, and debt repayments have been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taken care of. It is calculated as follows:</w:t>
      </w:r>
    </w:p>
    <w:p>
      <w:pPr>
        <w:autoSpaceDN w:val="0"/>
        <w:tabs>
          <w:tab w:pos="2014" w:val="left"/>
          <w:tab w:pos="2194" w:val="left"/>
        </w:tabs>
        <w:autoSpaceDE w:val="0"/>
        <w:widowControl/>
        <w:spacing w:line="262" w:lineRule="auto" w:before="386" w:after="0"/>
        <w:ind w:left="1614" w:right="158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FCFE = CFO −Fixed capital expenditure + Net borrowing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Or,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Net income + Depreciation −Working capital expenditure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−Fixed capital expenditure+ Net borrowing</w:t>
      </w:r>
    </w:p>
    <w:p>
      <w:pPr>
        <w:autoSpaceDN w:val="0"/>
        <w:autoSpaceDE w:val="0"/>
        <w:widowControl/>
        <w:spacing w:line="242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  <w:u w:val="single"/>
        </w:rPr>
        <w:t>Further information:</w:t>
      </w:r>
    </w:p>
    <w:p>
      <w:pPr>
        <w:autoSpaceDN w:val="0"/>
        <w:autoSpaceDE w:val="0"/>
        <w:widowControl/>
        <w:spacing w:line="254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net borrowing is negative, this means that the company's debt repayments have exceeded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receipt of borrowed funds. In this case:</w:t>
      </w:r>
    </w:p>
    <w:p>
      <w:pPr>
        <w:autoSpaceDN w:val="0"/>
        <w:autoSpaceDE w:val="0"/>
        <w:widowControl/>
        <w:spacing w:line="262" w:lineRule="auto" w:before="36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FCFE = CFO–FCInv– Net debt repayment</w:t>
      </w:r>
    </w:p>
    <w:p>
      <w:pPr>
        <w:autoSpaceDN w:val="0"/>
        <w:autoSpaceDE w:val="0"/>
        <w:widowControl/>
        <w:spacing w:line="242" w:lineRule="auto" w:before="36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Where:</w:t>
      </w:r>
    </w:p>
    <w:p>
      <w:pPr>
        <w:autoSpaceDN w:val="0"/>
        <w:autoSpaceDE w:val="0"/>
        <w:widowControl/>
        <w:spacing w:line="26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FCInv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Capital expenditures</w:t>
      </w:r>
    </w:p>
    <w:p>
      <w:pPr>
        <w:autoSpaceDN w:val="0"/>
        <w:autoSpaceDE w:val="0"/>
        <w:widowControl/>
        <w:spacing w:line="254" w:lineRule="auto" w:before="2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CFO =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cash flow from operating activities in the case where the interest paid is included as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activity.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positive FCFE implies that the company has more operating cash flow than it needs to cover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expenditures and the repayment of the debt, and therefore has cash available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 to shareholders.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gives the equation for the cash flow to the firm.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includes net borrowing, which should be there.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146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Q.2090 The financial data of a hypothetical firm is provided below.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4998"/>
        <w:gridCol w:w="4998"/>
      </w:tblGrid>
      <w:tr>
        <w:trPr>
          <w:trHeight w:hRule="exact" w:val="2240"/>
        </w:trPr>
        <w:tc>
          <w:tcPr>
            <w:tcW w:type="dxa" w:w="487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54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Decrease in Acc. Rec.</w:t>
            </w:r>
          </w:p>
          <w:p>
            <w:pPr>
              <w:autoSpaceDN w:val="0"/>
              <w:autoSpaceDE w:val="0"/>
              <w:widowControl/>
              <w:spacing w:line="278" w:lineRule="auto" w:before="46" w:after="0"/>
              <w:ind w:left="1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Capital Expenditure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Debt Issued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Repaid</w:t>
            </w:r>
          </w:p>
        </w:tc>
        <w:tc>
          <w:tcPr>
            <w:tcW w:type="dxa" w:w="203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15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330</w:t>
            </w:r>
          </w:p>
        </w:tc>
      </w:tr>
    </w:tbl>
    <w:p>
      <w:pPr>
        <w:autoSpaceDN w:val="0"/>
        <w:tabs>
          <w:tab w:pos="794" w:val="left"/>
        </w:tabs>
        <w:autoSpaceDE w:val="0"/>
        <w:widowControl/>
        <w:spacing w:line="274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Assuming a tax rate of 40%, the Free Cash Flow for the Firm (FCFF) using the cash flow from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operating activities equation is closest to: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A. $650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$690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$770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tabs>
          <w:tab w:pos="3054" w:val="left"/>
          <w:tab w:pos="3634" w:val="left"/>
          <w:tab w:pos="3674" w:val="left"/>
        </w:tabs>
        <w:autoSpaceDE w:val="0"/>
        <w:widowControl/>
        <w:spacing w:line="276" w:lineRule="auto" w:before="686" w:after="0"/>
        <w:ind w:left="7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from operating activities = $700 (Net income) + $57 (Depreciation) + $49 (Decrease in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−$36 (Increase in Inventory) = $770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 that: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FCFF = CFO + Int. Exp × (1 −Tax rate) −Fixed Capital investment </w:t>
      </w:r>
      <w:r>
        <w:tab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$770 + $100 × (60%) −$180 = $650</w:t>
      </w:r>
    </w:p>
    <w:p>
      <w:pPr>
        <w:autoSpaceDN w:val="0"/>
        <w:autoSpaceDE w:val="0"/>
        <w:widowControl/>
        <w:spacing w:line="242" w:lineRule="auto" w:before="40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does not consider the tax rate.</w:t>
      </w:r>
    </w:p>
    <w:p>
      <w:pPr>
        <w:autoSpaceDN w:val="0"/>
        <w:autoSpaceDE w:val="0"/>
        <w:widowControl/>
        <w:spacing w:line="242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cash flow from operating activities.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36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147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Q.2094 A firm has recently repaid its long-term debt obligations. Using the data given below,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cash flow from operations the debt payment ratio is closed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34.0" w:type="dxa"/>
      </w:tblPr>
      <w:tblGrid>
        <w:gridCol w:w="5004"/>
        <w:gridCol w:w="5004"/>
      </w:tblGrid>
      <w:tr>
        <w:trPr>
          <w:trHeight w:hRule="exact" w:val="2240"/>
        </w:trPr>
        <w:tc>
          <w:tcPr>
            <w:tcW w:type="dxa" w:w="487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auto" w:before="14" w:after="0"/>
              <w:ind w:left="1540" w:right="1008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Decrease in Acc. Rec.</w:t>
            </w:r>
          </w:p>
          <w:p>
            <w:pPr>
              <w:autoSpaceDN w:val="0"/>
              <w:autoSpaceDE w:val="0"/>
              <w:widowControl/>
              <w:spacing w:line="278" w:lineRule="auto" w:before="46" w:after="0"/>
              <w:ind w:left="15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Inventory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Increase in Capital Expenditure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Debt Issued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Repaid</w:t>
            </w:r>
          </w:p>
        </w:tc>
        <w:tc>
          <w:tcPr>
            <w:tcW w:type="dxa" w:w="203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4" w:after="0"/>
              <w:ind w:left="0" w:right="1546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57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49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36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180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450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330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0.99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1.77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2.33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tabs>
          <w:tab w:pos="4374" w:val="left"/>
          <w:tab w:pos="4594" w:val="left"/>
        </w:tabs>
        <w:autoSpaceDE w:val="0"/>
        <w:widowControl/>
        <w:spacing w:line="274" w:lineRule="auto" w:before="686" w:after="2"/>
        <w:ind w:left="5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from operating activities of a firm = $700 (Net income) + $57 (Depreciation) + $49 (De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−$36 (Increase in inventory) </w:t>
      </w:r>
      <w:r>
        <w:br/>
      </w:r>
      <w:r>
        <w:tab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$770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3336"/>
        <w:gridCol w:w="3336"/>
        <w:gridCol w:w="3336"/>
      </w:tblGrid>
      <w:tr>
        <w:trPr>
          <w:trHeight w:hRule="exact" w:val="520"/>
        </w:trPr>
        <w:tc>
          <w:tcPr>
            <w:tcW w:type="dxa" w:w="35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0" w:val="left"/>
              </w:tabs>
              <w:autoSpaceDE w:val="0"/>
              <w:widowControl/>
              <w:spacing w:line="326" w:lineRule="auto" w:before="0" w:after="0"/>
              <w:ind w:left="1300" w:right="14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Therefore,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Debt Payment ratio </w:t>
            </w:r>
          </w:p>
        </w:tc>
        <w:tc>
          <w:tcPr>
            <w:tcW w:type="dxa" w:w="3160"/>
            <w:gridSpan w:val="2"/>
            <w:tcBorders>
              <w:bottom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4" w:after="0"/>
              <w:ind w:left="2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CFO</w:t>
            </w:r>
          </w:p>
        </w:tc>
      </w:tr>
      <w:tr>
        <w:trPr>
          <w:trHeight w:hRule="exact" w:val="250"/>
        </w:trPr>
        <w:tc>
          <w:tcPr>
            <w:tcW w:type="dxa" w:w="358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8" w:lineRule="auto" w:before="0" w:after="0"/>
              <w:ind w:left="3312" w:right="9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3160"/>
            <w:gridSpan w:val="2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paid</w:t>
            </w:r>
          </w:p>
        </w:tc>
      </w:tr>
      <w:tr>
        <w:trPr>
          <w:trHeight w:hRule="exact" w:val="588"/>
        </w:trPr>
        <w:tc>
          <w:tcPr>
            <w:tcW w:type="dxa" w:w="3336"/>
            <w:vMerge/>
            <w:tcBorders>
              <w:top w:sz="8.0" w:val="single" w:color="#282D35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$770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$330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4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2.33</w:t>
            </w:r>
          </w:p>
        </w:tc>
      </w:tr>
    </w:tbl>
    <w:p>
      <w:pPr>
        <w:autoSpaceDN w:val="0"/>
        <w:autoSpaceDE w:val="0"/>
        <w:widowControl/>
        <w:spacing w:line="242" w:lineRule="auto" w:before="344" w:after="26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divides the CFO with the sum of debt issued and the debt paid.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4.0" w:type="dxa"/>
      </w:tblPr>
      <w:tblGrid>
        <w:gridCol w:w="3336"/>
        <w:gridCol w:w="3336"/>
        <w:gridCol w:w="3336"/>
      </w:tblGrid>
      <w:tr>
        <w:trPr>
          <w:trHeight w:hRule="exact" w:val="694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Payment ratio =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0" w:val="left"/>
                <w:tab w:pos="2200" w:val="left"/>
              </w:tabs>
              <w:autoSpaceDE w:val="0"/>
              <w:widowControl/>
              <w:spacing w:line="245" w:lineRule="auto" w:before="80" w:after="0"/>
              <w:ind w:left="4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CFO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paid+Debt Issued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180" w:val="left"/>
              </w:tabs>
              <w:autoSpaceDE w:val="0"/>
              <w:widowControl/>
              <w:spacing w:line="245" w:lineRule="auto" w:before="60" w:after="0"/>
              <w:ind w:left="20" w:right="864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$770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0.99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$330 + $450</w:t>
            </w:r>
          </w:p>
        </w:tc>
      </w:tr>
    </w:tbl>
    <w:p>
      <w:pPr>
        <w:autoSpaceDN w:val="0"/>
        <w:autoSpaceDE w:val="0"/>
        <w:widowControl/>
        <w:spacing w:line="242" w:lineRule="auto" w:before="304" w:after="28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divides the CFO with the debt issued.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4.0" w:type="dxa"/>
      </w:tblPr>
      <w:tblGrid>
        <w:gridCol w:w="2502"/>
        <w:gridCol w:w="2502"/>
        <w:gridCol w:w="2502"/>
        <w:gridCol w:w="2502"/>
      </w:tblGrid>
      <w:tr>
        <w:trPr>
          <w:trHeight w:hRule="exact" w:val="356"/>
        </w:trPr>
        <w:tc>
          <w:tcPr>
            <w:tcW w:type="dxa" w:w="35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0" w:right="24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Debt Payment ratio </w:t>
            </w:r>
          </w:p>
        </w:tc>
        <w:tc>
          <w:tcPr>
            <w:tcW w:type="dxa" w:w="14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80" w:after="0"/>
              <w:ind w:left="30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CFO</w:t>
            </w:r>
          </w:p>
        </w:tc>
        <w:tc>
          <w:tcPr>
            <w:tcW w:type="dxa" w:w="5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$770</w:t>
            </w:r>
          </w:p>
        </w:tc>
        <w:tc>
          <w:tcPr>
            <w:tcW w:type="dxa" w:w="198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186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1.71</w:t>
            </w:r>
          </w:p>
        </w:tc>
      </w:tr>
      <w:tr>
        <w:trPr>
          <w:trHeight w:hRule="exact" w:val="318"/>
        </w:trPr>
        <w:tc>
          <w:tcPr>
            <w:tcW w:type="dxa" w:w="35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4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0" w:val="left"/>
              </w:tabs>
              <w:autoSpaceDE w:val="0"/>
              <w:widowControl/>
              <w:spacing w:line="245" w:lineRule="auto" w:before="0" w:after="0"/>
              <w:ind w:left="0" w:right="0" w:firstLine="0"/>
              <w:jc w:val="left"/>
            </w:pP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Debt Issued</w:t>
            </w:r>
          </w:p>
        </w:tc>
        <w:tc>
          <w:tcPr>
            <w:tcW w:type="dxa" w:w="5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$450</w:t>
            </w:r>
          </w:p>
        </w:tc>
        <w:tc>
          <w:tcPr>
            <w:tcW w:type="dxa" w:w="198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59" w:lineRule="auto" w:before="3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0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148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432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Q.2096 Grand Co. is a laptop distributor firm whose financial data is provided in the following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table. Using the given data, the FCFF of Grand Co. is closest to: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4970"/>
        <w:gridCol w:w="4970"/>
      </w:tblGrid>
      <w:tr>
        <w:trPr>
          <w:trHeight w:hRule="exact" w:val="2260"/>
        </w:trPr>
        <w:tc>
          <w:tcPr>
            <w:tcW w:type="dxa" w:w="4730"/>
            <w:tcBorders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14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Income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Depreciation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Interest Expense (Net of Taxes)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Fixed Capital Expenditure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Working Capital Expenditure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Net Borrowing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Tax Rate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Interest Rate</w:t>
            </w:r>
          </w:p>
        </w:tc>
        <w:tc>
          <w:tcPr>
            <w:tcW w:type="dxa" w:w="2350"/>
            <w:tcBorders>
              <w:start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4" w:after="0"/>
              <w:ind w:left="0" w:right="141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200,000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110,000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77,000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65,000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30% </w:t>
            </w:r>
            <w:r>
              <w:br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8%</w:t>
            </w:r>
          </w:p>
        </w:tc>
      </w:tr>
    </w:tbl>
    <w:p>
      <w:pPr>
        <w:autoSpaceDN w:val="0"/>
        <w:autoSpaceDE w:val="0"/>
        <w:widowControl/>
        <w:spacing w:line="242" w:lineRule="auto" w:before="394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$108,000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$120,000</w:t>
      </w:r>
    </w:p>
    <w:p>
      <w:pPr>
        <w:autoSpaceDN w:val="0"/>
        <w:autoSpaceDE w:val="0"/>
        <w:widowControl/>
        <w:spacing w:line="242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$200,000</w:t>
      </w:r>
    </w:p>
    <w:p>
      <w:pPr>
        <w:autoSpaceDN w:val="0"/>
        <w:autoSpaceDE w:val="0"/>
        <w:widowControl/>
        <w:spacing w:line="242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FCFF of Grand Co. is calculated by using the FCFF equation:</w:t>
      </w:r>
    </w:p>
    <w:p>
      <w:pPr>
        <w:autoSpaceDN w:val="0"/>
        <w:tabs>
          <w:tab w:pos="2120" w:val="left"/>
        </w:tabs>
        <w:autoSpaceDE w:val="0"/>
        <w:widowControl/>
        <w:spacing w:line="254" w:lineRule="auto" w:before="386" w:after="0"/>
        <w:ind w:left="1500" w:right="144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FCFF = Net Income + Depreciation + Interest expense(1 −Tax rate)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−Working capital expenditure −Fixed capital expenditure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Therefore,</w:t>
      </w:r>
    </w:p>
    <w:p>
      <w:pPr>
        <w:autoSpaceDN w:val="0"/>
        <w:autoSpaceDE w:val="0"/>
        <w:widowControl/>
        <w:spacing w:line="278" w:lineRule="auto" w:before="366" w:after="0"/>
        <w:ind w:left="2640" w:right="2016" w:hanging="6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FCFF = $200, 000 (Net Income) + $70, 000 (Depreciation)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$37, 000 (Interest expense × (1 −Tax rate))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−$77, 000 (Working capital expenditure)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−$110, 000 (Fixed capital expenditure)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$120, 000</w:t>
      </w:r>
    </w:p>
    <w:p>
      <w:pPr>
        <w:autoSpaceDN w:val="0"/>
        <w:autoSpaceDE w:val="0"/>
        <w:widowControl/>
        <w:spacing w:line="242" w:lineRule="auto" w:before="40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Notes:</w:t>
      </w:r>
    </w:p>
    <w:p>
      <w:pPr>
        <w:autoSpaceDN w:val="0"/>
        <w:autoSpaceDE w:val="0"/>
        <w:widowControl/>
        <w:spacing w:line="254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1. Since Interest expenses are given as net of taxes, we do not need to adjust the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expense.</w:t>
      </w:r>
    </w:p>
    <w:p>
      <w:pPr>
        <w:autoSpaceDN w:val="0"/>
        <w:autoSpaceDE w:val="0"/>
        <w:widowControl/>
        <w:spacing w:line="242" w:lineRule="auto" w:before="226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2. Net borrowing is only considered in the calculation of FCFE.</w:t>
      </w:r>
    </w:p>
    <w:p>
      <w:pPr>
        <w:autoSpaceDN w:val="0"/>
        <w:autoSpaceDE w:val="0"/>
        <w:widowControl/>
        <w:spacing w:line="242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Includes tax rate in calculation.</w:t>
      </w:r>
    </w:p>
    <w:p>
      <w:pPr>
        <w:autoSpaceDN w:val="0"/>
        <w:autoSpaceDE w:val="0"/>
        <w:widowControl/>
        <w:spacing w:line="276" w:lineRule="auto" w:before="366" w:after="0"/>
        <w:ind w:left="2160" w:right="1440" w:hanging="6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FCFF = $200, 000 (Net Income) + $70, 000 (Depreciation)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+ $37, 000 (1– 30%) −$77, 000 (Working capital expenditure)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−$110, 000 (Fixed capital expenditure)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 $108, 900</w:t>
      </w:r>
    </w:p>
    <w:p>
      <w:pPr>
        <w:autoSpaceDN w:val="0"/>
        <w:autoSpaceDE w:val="0"/>
        <w:widowControl/>
        <w:spacing w:line="242" w:lineRule="auto" w:before="3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149</w:t>
      </w:r>
    </w:p>
    <w:p>
      <w:pPr>
        <w:autoSpaceDN w:val="0"/>
        <w:autoSpaceDE w:val="0"/>
        <w:widowControl/>
        <w:spacing w:line="242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represents the net income.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12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150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6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Q.3801 A company reported the following information: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74.0" w:type="dxa"/>
      </w:tblPr>
      <w:tblGrid>
        <w:gridCol w:w="5004"/>
        <w:gridCol w:w="5004"/>
      </w:tblGrid>
      <w:tr>
        <w:trPr>
          <w:trHeight w:hRule="exact" w:val="270"/>
        </w:trPr>
        <w:tc>
          <w:tcPr>
            <w:tcW w:type="dxa" w:w="39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Net income</w:t>
            </w:r>
          </w:p>
        </w:tc>
        <w:tc>
          <w:tcPr>
            <w:tcW w:type="dxa" w:w="147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$323 Million</w:t>
            </w:r>
          </w:p>
        </w:tc>
      </w:tr>
      <w:tr>
        <w:trPr>
          <w:trHeight w:hRule="exact" w:val="280"/>
        </w:trPr>
        <w:tc>
          <w:tcPr>
            <w:tcW w:type="dxa" w:w="3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from Investing Activities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$13 Million</w:t>
            </w:r>
          </w:p>
        </w:tc>
      </w:tr>
      <w:tr>
        <w:trPr>
          <w:trHeight w:hRule="exact" w:val="280"/>
        </w:trPr>
        <w:tc>
          <w:tcPr>
            <w:tcW w:type="dxa" w:w="3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from Financing Activities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$40 Million</w:t>
            </w:r>
          </w:p>
        </w:tc>
      </w:tr>
      <w:tr>
        <w:trPr>
          <w:trHeight w:hRule="exact" w:val="280"/>
        </w:trPr>
        <w:tc>
          <w:tcPr>
            <w:tcW w:type="dxa" w:w="3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Cash flow from Operating Activities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$62 Million</w:t>
            </w:r>
          </w:p>
        </w:tc>
      </w:tr>
      <w:tr>
        <w:trPr>
          <w:trHeight w:hRule="exact" w:val="280"/>
        </w:trPr>
        <w:tc>
          <w:tcPr>
            <w:tcW w:type="dxa" w:w="3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 Cash Flows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$115 Million</w:t>
            </w:r>
          </w:p>
        </w:tc>
      </w:tr>
      <w:tr>
        <w:trPr>
          <w:trHeight w:hRule="exact" w:val="280"/>
        </w:trPr>
        <w:tc>
          <w:tcPr>
            <w:tcW w:type="dxa" w:w="39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Assets at the beginning of the period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$100 Million</w:t>
            </w:r>
          </w:p>
        </w:tc>
      </w:tr>
      <w:tr>
        <w:trPr>
          <w:trHeight w:hRule="exact" w:val="290"/>
        </w:trPr>
        <w:tc>
          <w:tcPr>
            <w:tcW w:type="dxa" w:w="39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4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Assets at the end of the period</w:t>
            </w:r>
          </w:p>
        </w:tc>
        <w:tc>
          <w:tcPr>
            <w:tcW w:type="dxa" w:w="147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$143 Million</w:t>
            </w:r>
          </w:p>
        </w:tc>
      </w:tr>
    </w:tbl>
    <w:p>
      <w:pPr>
        <w:autoSpaceDN w:val="0"/>
        <w:autoSpaceDE w:val="0"/>
        <w:widowControl/>
        <w:spacing w:line="24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company's cash return on asset ratio is closed to:</w:t>
      </w:r>
    </w:p>
    <w:p>
      <w:pPr>
        <w:autoSpaceDN w:val="0"/>
        <w:autoSpaceDE w:val="0"/>
        <w:widowControl/>
        <w:spacing w:line="432" w:lineRule="auto" w:before="346" w:after="0"/>
        <w:ind w:left="0" w:right="7344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0.1069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0.5102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0.9465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4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Return on Assets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4176" w:space="0"/>
            <w:col w:w="5832" w:space="0"/>
          </w:cols>
          <w:docGrid w:linePitch="360"/>
        </w:sectPr>
      </w:pPr>
    </w:p>
    <w:p>
      <w:pPr>
        <w:autoSpaceDN w:val="0"/>
        <w:tabs>
          <w:tab w:pos="218" w:val="left"/>
        </w:tabs>
        <w:autoSpaceDE w:val="0"/>
        <w:widowControl/>
        <w:spacing w:line="286" w:lineRule="auto" w:before="0" w:after="26"/>
        <w:ind w:left="38" w:right="288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Flows from Operations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Total Assets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4176" w:space="0"/>
            <w:col w:w="58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74.0" w:type="dxa"/>
      </w:tblPr>
      <w:tblGrid>
        <w:gridCol w:w="3336"/>
        <w:gridCol w:w="3336"/>
        <w:gridCol w:w="3336"/>
      </w:tblGrid>
      <w:tr>
        <w:trPr>
          <w:trHeight w:hRule="exact" w:val="496"/>
        </w:trPr>
        <w:tc>
          <w:tcPr>
            <w:tcW w:type="dxa" w:w="23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0" w:after="0"/>
              <w:ind w:left="0" w:right="100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</w:t>
            </w:r>
          </w:p>
        </w:tc>
        <w:tc>
          <w:tcPr>
            <w:tcW w:type="dxa" w:w="1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1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47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60" w:val="left"/>
              </w:tabs>
              <w:autoSpaceDE w:val="0"/>
              <w:widowControl/>
              <w:spacing w:line="245" w:lineRule="auto" w:before="0" w:after="0"/>
              <w:ind w:left="760" w:right="72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62, 000, 000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51.02%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(100 000 000 + 143 000 000)</w:t>
            </w:r>
          </w:p>
        </w:tc>
      </w:tr>
      <w:tr>
        <w:trPr>
          <w:trHeight w:hRule="exact" w:val="244"/>
        </w:trPr>
        <w:tc>
          <w:tcPr>
            <w:tcW w:type="dxa" w:w="23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47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7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,,,,</w:t>
            </w:r>
          </w:p>
        </w:tc>
      </w:tr>
    </w:tbl>
    <w:p>
      <w:pPr>
        <w:autoSpaceDN w:val="0"/>
        <w:autoSpaceDE w:val="0"/>
        <w:widowControl/>
        <w:spacing w:line="242" w:lineRule="auto" w:before="318" w:after="3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used cash flow from investing activities.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3336"/>
        <w:gridCol w:w="3336"/>
        <w:gridCol w:w="3336"/>
      </w:tblGrid>
      <w:tr>
        <w:trPr>
          <w:trHeight w:hRule="exact" w:val="54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0" w:val="left"/>
              </w:tabs>
              <w:autoSpaceDE w:val="0"/>
              <w:widowControl/>
              <w:spacing w:line="245" w:lineRule="auto" w:before="60" w:after="0"/>
              <w:ind w:left="74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13, 000, 000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10.69%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(100, 000, 000 + 143,000,000)</w:t>
            </w:r>
          </w:p>
        </w:tc>
      </w:tr>
      <w:tr>
        <w:trPr>
          <w:trHeight w:hRule="exact" w:val="234"/>
        </w:trPr>
        <w:tc>
          <w:tcPr>
            <w:tcW w:type="dxa" w:w="3336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3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2" w:lineRule="auto" w:before="298" w:after="306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It has used total cash flows.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4.0" w:type="dxa"/>
      </w:tblPr>
      <w:tblGrid>
        <w:gridCol w:w="3336"/>
        <w:gridCol w:w="3336"/>
        <w:gridCol w:w="3336"/>
      </w:tblGrid>
      <w:tr>
        <w:trPr>
          <w:trHeight w:hRule="exact" w:val="546"/>
        </w:trPr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376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1</w:t>
            </w:r>
          </w:p>
        </w:tc>
        <w:tc>
          <w:tcPr>
            <w:tcW w:type="dxa" w:w="5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20" w:val="left"/>
              </w:tabs>
              <w:autoSpaceDE w:val="0"/>
              <w:widowControl/>
              <w:spacing w:line="245" w:lineRule="auto" w:before="60" w:after="0"/>
              <w:ind w:left="68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115, 000, 000 </w:t>
            </w:r>
            <w:r>
              <w:br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 94.65%</w:t>
            </w:r>
          </w:p>
          <w:p>
            <w:pPr>
              <w:autoSpaceDN w:val="0"/>
              <w:autoSpaceDE w:val="0"/>
              <w:widowControl/>
              <w:spacing w:line="242" w:lineRule="auto" w:before="0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× (100, 000, 000 + 143,000,000)</w:t>
            </w:r>
          </w:p>
        </w:tc>
      </w:tr>
      <w:tr>
        <w:trPr>
          <w:trHeight w:hRule="exact" w:val="234"/>
        </w:trPr>
        <w:tc>
          <w:tcPr>
            <w:tcW w:type="dxa" w:w="3336"/>
            <w:vMerge/>
            <w:tcBorders/>
          </w:tcPr>
          <w:p/>
        </w:tc>
        <w:tc>
          <w:tcPr>
            <w:tcW w:type="dxa" w:w="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33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9" w:lineRule="auto" w:before="298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8034" w:val="left"/>
        </w:tabs>
        <w:autoSpaceDE w:val="0"/>
        <w:widowControl/>
        <w:spacing w:line="290" w:lineRule="auto" w:before="1074" w:after="0"/>
        <w:ind w:left="4784" w:right="0" w:firstLine="0"/>
        <w:jc w:val="left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151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Q.3802 Determine the cash flow debt coverage ratio of a company based on the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provided below.</w:t>
      </w:r>
    </w:p>
    <w:p>
      <w:pPr>
        <w:autoSpaceDN w:val="0"/>
        <w:autoSpaceDE w:val="0"/>
        <w:widowControl/>
        <w:spacing w:line="264" w:lineRule="auto" w:before="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  <w:u w:val="single"/>
        </w:rPr>
        <w:t>Cash Flow Metrics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From Investing Activities: $ 15 Million From Financing Activities: $ 13 Million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Operating Activities: $ 90 Million Total Cash Flows: $ 118 Million Total Debt: $ 270 Million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0.333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0.437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0.556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4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89" w:lineRule="auto" w:before="0" w:after="0"/>
        <w:ind w:left="4874" w:right="0" w:hanging="330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Debt Coverage Ratio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5046" w:space="0"/>
            <w:col w:w="4962" w:space="0"/>
          </w:cols>
          <w:docGrid w:linePitch="360"/>
        </w:sectPr>
      </w:pPr>
    </w:p>
    <w:p>
      <w:pPr>
        <w:autoSpaceDN w:val="0"/>
        <w:autoSpaceDE w:val="0"/>
        <w:widowControl/>
        <w:spacing w:line="242" w:lineRule="auto" w:before="0" w:after="0"/>
        <w:ind w:left="6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 from Operating Activities</w:t>
      </w:r>
    </w:p>
    <w:p>
      <w:pPr>
        <w:autoSpaceDN w:val="0"/>
        <w:autoSpaceDE w:val="0"/>
        <w:widowControl/>
        <w:spacing w:line="242" w:lineRule="auto" w:before="86" w:after="0"/>
        <w:ind w:left="1148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Debt</w:t>
      </w:r>
    </w:p>
    <w:p>
      <w:pPr>
        <w:autoSpaceDN w:val="0"/>
        <w:tabs>
          <w:tab w:pos="1208" w:val="left"/>
        </w:tabs>
        <w:autoSpaceDE w:val="0"/>
        <w:widowControl/>
        <w:spacing w:line="245" w:lineRule="auto" w:before="0" w:after="404"/>
        <w:ind w:left="8" w:right="1728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$90 Million </w:t>
      </w:r>
      <w:r>
        <w:br/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= 0.3333 or 33.33%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$270 Million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5046" w:space="0"/>
            <w:col w:w="4962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Total cash flows have been used in place of cash flows from operating activities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calculate the cash flow debt coverage ratio.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Cash flows from investing activities have been used in place of the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from operating activities.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Q.4734 A company in its growth phase shows a persistent negative operating cash flow over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several years despite increasing net income annually. Which of the following implications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concerning for the company’s long-term financial health?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company’s inventory management is highly efficient.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company’s depreciation methods are likely too aggressive.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 may need to seek external financing to support its operations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continuously.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Persistent negative operating cash flow in the context of increasing net income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company’s reported earnings do not reflect actual cash generation,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 unsustainable over the long term. This situation may force the company to rely on external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financing, such as debt or equity issuance, to fund its operations, a risky strategy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jeopardize its financial stability.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Efficient inventory management would generally positively impact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flows by reducing cash tied up in inventory, contrary to the scenario described.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Depreciation methods affect accounting earnings but do not impact cash flows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directly. The concern here is not about the aggressiveness of depreciation but the sustainability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the cash flows.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153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Q.4735 Which of the following statements is most accurate about the role of common-size cash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flow statements in financial analysis?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They help compare the cash flow structures of companies of different sizes.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They primarily assist in assessing the profitability of a company’s investments.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They are most useful for determining the exact dollar amounts of cash inflows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outflows.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Common-size cash flow statements convert each line item into a percentage of a total (either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inflows or total outflows), which helps compare companies of different sizes by providing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proportional analysis of where cash comes from and where it goes, making size discrepancies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companies less misleading.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Common-size statements focus not on assessing profitability but on the structure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proportions of cash flows.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common-size analysis does not focus on exact dollar amounts but rather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proportions that these amounts represent relative to total cash inflows or outflows.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154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Q.4736 Which of the following statements is most accurate?</w:t>
      </w:r>
    </w:p>
    <w:p>
      <w:pPr>
        <w:autoSpaceDN w:val="0"/>
        <w:autoSpaceDE w:val="0"/>
        <w:widowControl/>
        <w:spacing w:line="264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For mature companies, financing activities would be preferable as the primary source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cash flows.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If a company has a significant net income despite its negative operating cash flow,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may indicate poor earnings quality.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One approach to the common-size analysis of the cash flow statement involves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expressing each cash flow (inflows and outflows) as a percentage of total cash inflows.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4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If a company has a negative operating cash flow and still has a significant net income, this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manifestation of the poor quality of the company’s earnings.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For a mature company, operating activities, not financing activities, should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primary source of cash flows.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Common-sizing the cash flow statement entails the expression of each line item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cash inflow as a percentage of total cash inflows and each cash outflow as a percentage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cash outflow.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155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Q.4737 A company reported the following figures for the fiscal year: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income: $120,000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Depreciation and amortization: $30,000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Expense: $20,000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Tax Rate: 40%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Expenditures: $50,000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Increase in Working Capital: $10,000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Free Cash Flow to the Firm (FCFF)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$74,000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$86,000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$102,000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666" w:after="0"/>
        <w:ind w:left="11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FCFF = NI + NCC + Int(1 - Tax Rate) - FCInv - WCInv</w:t>
      </w:r>
    </w:p>
    <w:p>
      <w:pPr>
        <w:autoSpaceDN w:val="0"/>
        <w:autoSpaceDE w:val="0"/>
        <w:widowControl/>
        <w:spacing w:line="262" w:lineRule="auto" w:before="6" w:after="0"/>
        <w:ind w:left="1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$120, 000 + $30,000 + $20, 000 × (1 −0.40) −$50, 000 −$10, 000</w:t>
      </w:r>
    </w:p>
    <w:p>
      <w:pPr>
        <w:autoSpaceDN w:val="0"/>
        <w:autoSpaceDE w:val="0"/>
        <w:widowControl/>
        <w:spacing w:line="262" w:lineRule="auto" w:before="26" w:after="0"/>
        <w:ind w:left="18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$120, 000 + $30,000 + $12, 000 −$50, 000 −$10, 000 = $102, 000</w:t>
      </w:r>
    </w:p>
    <w:p>
      <w:pPr>
        <w:autoSpaceDN w:val="0"/>
        <w:autoSpaceDE w:val="0"/>
        <w:widowControl/>
        <w:spacing w:line="242" w:lineRule="auto" w:before="40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CFA Level I, Volume 2, Topic 5 - Financial Statements Analysis, Learning Module 5: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Analyzing Statements of Cash Flows II, LOS 5a: analyze and interpret both reported and</w:t>
      </w:r>
    </w:p>
    <w:p>
      <w:pPr>
        <w:autoSpaceDN w:val="0"/>
        <w:autoSpaceDE w:val="0"/>
        <w:widowControl/>
        <w:spacing w:line="242" w:lineRule="auto" w:before="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156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Q.4738 Consider the following data from a company’s financial statements for the year 2023: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2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CFO (Cash from Operations): $400,000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Interest Paid (post-tax): $24,000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Dividends Paid: $30,000</w:t>
      </w:r>
    </w:p>
    <w:p>
      <w:pPr>
        <w:autoSpaceDN w:val="0"/>
        <w:tabs>
          <w:tab w:pos="994" w:val="left"/>
        </w:tabs>
        <w:autoSpaceDE w:val="0"/>
        <w:widowControl/>
        <w:spacing w:line="240" w:lineRule="auto" w:before="386" w:after="0"/>
        <w:ind w:left="53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500" cy="63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Long-term Asset Purchases: $100,000</w:t>
      </w:r>
    </w:p>
    <w:p>
      <w:pPr>
        <w:autoSpaceDN w:val="0"/>
        <w:autoSpaceDE w:val="0"/>
        <w:widowControl/>
        <w:spacing w:line="242" w:lineRule="auto" w:before="30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Cash Flow Coverage ratio for dividends is closest to: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10.35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15.25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13.33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4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that: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8" w:lineRule="auto" w:before="0" w:after="0"/>
        <w:ind w:left="5614" w:right="0" w:hanging="292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Payment Coverage =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=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 w:num="2" w:equalWidth="0">
            <w:col w:w="5826" w:space="0"/>
            <w:col w:w="4170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auto" w:before="0" w:after="26"/>
        <w:ind w:left="48" w:right="2592" w:firstLine="44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CFO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Dividends Paid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$400, 000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$30, 000</w:t>
      </w:r>
    </w:p>
    <w:p>
      <w:pPr>
        <w:sectPr>
          <w:type w:val="nextColumn"/>
          <w:pgSz w:w="12240" w:h="15840"/>
          <w:pgMar w:top="588" w:right="1098" w:bottom="332" w:left="1146" w:header="720" w:footer="720" w:gutter="0"/>
          <w:cols w:num="2" w:equalWidth="0">
            <w:col w:w="5826" w:space="0"/>
            <w:col w:w="4170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59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= 13.33</w:t>
      </w:r>
    </w:p>
    <w:p>
      <w:pPr>
        <w:autoSpaceDN w:val="0"/>
        <w:autoSpaceDE w:val="0"/>
        <w:widowControl/>
        <w:spacing w:line="259" w:lineRule="auto" w:before="40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157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Q.4739 Which of the following best describes the implications of a consistently decreasing Free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to the Firm (FCFF) over several years for a company not experiencing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investments?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It may indicate increased efficiency in asset utilization.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It reflects an intentional strategy of leveraging for growth.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It suggests potential challenges in sustaining operations without external financing.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consistently decreasing FCFF suggests potential challenges in sustaining operations without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external financing, highlighting possible inefficiencies or declining profitability. This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necessitate external funds to maintain operations.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Decreasing FCFF generally indicates less efficient asset utilization, implying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 is generating less cash relative to its operations and investments.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decrease in FCFF is generally not a result of a strategic choice to leverage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 but rather an indicator of potential financial stress or declining operational efficiency.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158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Q.4740 Consider a scenario where a company’s Free Cash Flow to Equity (FCFE) is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than its Free Cash Flow to the Firm (FCFF). What does this suggest about the company’s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strategy?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is likely reducing its debt load aggressively.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maintaining a high level of reinvestment in fixed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potentially increases its leverage, resulting in higher net borrowing.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FCFE than FCFF typically indicates increased leverage, as net borrowing boosts FCFE.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suggests a strategic increase in debt to finance operations or growth, which could raise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risks.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Reducing debt would decrease net borrowing, thus reducing FCFE relative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FCFF, not increasing it.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Reinvestment in fixed assets would be captured similarly in FCFF and FCFE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calculations and thus would not explain a discrepancy between the two measures.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5a: analyze and interpret both reported and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common-size cash flow statements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159</w:t>
      </w:r>
    </w:p>
    <w:p>
      <w:pPr>
        <w:autoSpaceDN w:val="0"/>
        <w:autoSpaceDE w:val="0"/>
        <w:widowControl/>
        <w:spacing w:line="242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Q.4741 A high cash return on assets ratio is observed in a company with relatively stable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 but significantly fluctuating net income. What could this most likely indicate about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company’s earnings?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has made several large, one-time sales of assets.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might be involved in aggressive earnings management.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 is experiencing substantial non-cash expenses like depreciation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amortization.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8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non-cash expenses such as depreciation or amortization could explain why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fluctuates despite stable revenue, as these expenses reduce net income but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 cash flow.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One-time sales of assets would typically increase, not decrease, net income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short term and would be irregular, affecting cash flows and not explaining consistently high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Cash Return on Assets.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earnings management could cause fluctuations, it does not directly relate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a stable revenue scenario affecting the Cash Return on Assets.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160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Q.4742 What does a declining debt payment coverage ratio over time generally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indicate about a company’s financial health?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opts to refinance its existing debts rather than pay them down.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company increasingly uses its cash flow for investment rather than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repayment.</w:t>
      </w:r>
    </w:p>
    <w:p>
      <w:pPr>
        <w:autoSpaceDN w:val="0"/>
        <w:autoSpaceDE w:val="0"/>
        <w:widowControl/>
        <w:spacing w:line="264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company’s operational cash flow is deteriorating relative to its long-term debt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obligations.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42" w:lineRule="auto" w:before="726" w:after="50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Recall that the debt payment coverage ratio is calculated as: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3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Debt coverage ratio =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4936" w:space="0"/>
            <w:col w:w="5072" w:space="0"/>
          </w:cols>
          <w:docGrid w:linePitch="360"/>
        </w:sectPr>
      </w:pPr>
    </w:p>
    <w:p>
      <w:pPr>
        <w:autoSpaceDN w:val="0"/>
        <w:tabs>
          <w:tab w:pos="678" w:val="left"/>
        </w:tabs>
        <w:autoSpaceDE w:val="0"/>
        <w:widowControl/>
        <w:spacing w:line="286" w:lineRule="auto" w:before="0" w:after="346"/>
        <w:ind w:left="38" w:right="2304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Cash flow from operations </w:t>
      </w:r>
      <w:r>
        <w:tab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debt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4936" w:space="0"/>
            <w:col w:w="5072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declining Debt Payment Coverage ratio suggests the company’s cash flow from operations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insufficient to cover its debt obligations, indicating potential financial distress or inefficiency.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Refinancing debt generally wouldn’t directly cause a decline in this ratio unless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 involves unfavorable terms that increase the debt burden or payment schedules.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Using cash for investment would typically not lead to a decline in this ratio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unless these investments fail to generate sufficient returns or cash flow.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5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161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Q.4743 Suppose a company shows a consistently high cash flow to revenue ratio while its 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income to revenue ratio is declining. What might this most likely indicate about its operational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practices?</w:t>
      </w:r>
    </w:p>
    <w:p>
      <w:pPr>
        <w:autoSpaceDN w:val="0"/>
        <w:autoSpaceDE w:val="0"/>
        <w:widowControl/>
        <w:spacing w:line="24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company may be realizing high non-operating revenues.</w:t>
      </w:r>
    </w:p>
    <w:p>
      <w:pPr>
        <w:autoSpaceDN w:val="0"/>
        <w:autoSpaceDE w:val="0"/>
        <w:widowControl/>
        <w:spacing w:line="24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company is effectively controlling its operational cash expenditures.</w:t>
      </w:r>
    </w:p>
    <w:p>
      <w:pPr>
        <w:autoSpaceDN w:val="0"/>
        <w:autoSpaceDE w:val="0"/>
        <w:widowControl/>
        <w:spacing w:line="242" w:lineRule="auto" w:before="2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company is likely facing increasing non-cash charges impacting profitability.</w:t>
      </w:r>
    </w:p>
    <w:p>
      <w:pPr>
        <w:autoSpaceDN w:val="0"/>
        <w:autoSpaceDE w:val="0"/>
        <w:widowControl/>
        <w:spacing w:line="242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Increasing non-cash charges like depreciation or amortization would reduce net income while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affecting cash flow. This could explain the high Cash Flow to Revenue ratio alongside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declining Net Income to Revenue ratio.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Non-operating revenues would affect cash flow and net income similarly, thus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explaining a divergence between these ratios.</w:t>
      </w:r>
    </w:p>
    <w:p>
      <w:pPr>
        <w:autoSpaceDN w:val="0"/>
        <w:autoSpaceDE w:val="0"/>
        <w:widowControl/>
        <w:spacing w:line="257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Effective cash expenditure control would generally support high cash flow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income ratios.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Volume 2, Topic 5 - Financial Statements Analysis, Learning Module 5: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Analyzing Statements of Cash Flows II, LOS 5b: calculate and interpret free cash flow to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the firm, free cash flow to equity, and performance and coverage cash flow ratios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2" w:lineRule="auto" w:before="65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162</w:t>
      </w:r>
    </w:p>
    <w:p>
      <w:pPr>
        <w:autoSpaceDN w:val="0"/>
        <w:autoSpaceDE w:val="0"/>
        <w:widowControl/>
        <w:spacing w:line="242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