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24"/>
          <w:szCs w:val="24"/>
        </w:rPr>
        <w:t>Приложение к Договору №……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b/>
          <w:sz w:val="28"/>
          <w:szCs w:val="28"/>
        </w:rPr>
        <w:t>Порядок взаимодействия Торговой точки с платежным шлюзом Банка  для оплаты товаров/услуг с использованием платежных карт.</w:t>
      </w:r>
    </w:p>
    <w:p>
      <w:pPr>
        <w:pStyle w:val="style0"/>
        <w:jc w:val="center"/>
      </w:pPr>
      <w:r>
        <w:rPr>
          <w:b/>
          <w:sz w:val="28"/>
          <w:szCs w:val="28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>1.Определения:</w:t>
      </w:r>
    </w:p>
    <w:p>
      <w:pPr>
        <w:pStyle w:val="style0"/>
        <w:jc w:val="both"/>
      </w:pPr>
      <w:r>
        <w:rPr>
          <w:i/>
          <w:sz w:val="24"/>
          <w:szCs w:val="24"/>
        </w:rPr>
        <w:t>Платежный шлюз</w:t>
      </w:r>
      <w:r>
        <w:rPr>
          <w:sz w:val="24"/>
          <w:szCs w:val="24"/>
        </w:rPr>
        <w:t xml:space="preserve"> – совокупность программных и аппаратных средств, выполняющих: 1) Обработку запросов Торговых точек на проведение операций. 2) Проведение операций 3) Передачу результатов проведения операций Торговым точкам.</w:t>
      </w:r>
    </w:p>
    <w:p>
      <w:pPr>
        <w:pStyle w:val="style0"/>
        <w:jc w:val="both"/>
      </w:pPr>
      <w:r>
        <w:rPr>
          <w:i/>
          <w:sz w:val="24"/>
          <w:szCs w:val="24"/>
        </w:rPr>
        <w:t xml:space="preserve">Секретный ключ </w:t>
      </w:r>
      <w:r>
        <w:rPr>
          <w:sz w:val="24"/>
          <w:szCs w:val="24"/>
        </w:rPr>
        <w:t>– набор случайных символов, сгенерированный модулем безопасности Банка для формирования HMAC.</w:t>
      </w:r>
    </w:p>
    <w:p>
      <w:pPr>
        <w:pStyle w:val="style0"/>
        <w:jc w:val="both"/>
      </w:pPr>
      <w:r>
        <w:rPr>
          <w:i/>
          <w:sz w:val="24"/>
          <w:szCs w:val="24"/>
          <w:lang w:val="en-US"/>
        </w:rPr>
        <w:t xml:space="preserve">HMAC – </w:t>
      </w:r>
      <w:r>
        <w:rPr>
          <w:sz w:val="24"/>
          <w:szCs w:val="24"/>
          <w:lang w:val="en-US"/>
        </w:rPr>
        <w:t xml:space="preserve">hash-based message authenticate code. </w:t>
      </w:r>
      <w:r>
        <w:rPr>
          <w:sz w:val="24"/>
          <w:szCs w:val="24"/>
        </w:rPr>
        <w:t xml:space="preserve">Набор символов, сформированный при обработке  входящих параметров по алгоритму </w:t>
      </w:r>
      <w:r>
        <w:rPr>
          <w:sz w:val="24"/>
          <w:szCs w:val="24"/>
          <w:lang w:val="en-US"/>
        </w:rPr>
        <w:t>SHA</w:t>
      </w:r>
      <w:r>
        <w:rPr>
          <w:sz w:val="24"/>
          <w:szCs w:val="24"/>
        </w:rPr>
        <w:t>1 с использованием секретного ключа. H</w:t>
      </w:r>
      <w:r>
        <w:rPr>
          <w:sz w:val="24"/>
          <w:szCs w:val="24"/>
          <w:lang w:val="en-US"/>
        </w:rPr>
        <w:t>MAC</w:t>
      </w:r>
      <w:r>
        <w:rPr>
          <w:sz w:val="24"/>
          <w:szCs w:val="24"/>
        </w:rPr>
        <w:t xml:space="preserve"> передается отдельным параметром P_SIGN в запросах Торговых точек к платежному шлюзу и  передаче ответов на эти запросы обратно Торговым точкам. Предназначен для обеспечения целостности запроса и обоюдной аутентификации Банка и Торговой точки.</w:t>
      </w:r>
    </w:p>
    <w:p>
      <w:pPr>
        <w:pStyle w:val="style0"/>
        <w:jc w:val="both"/>
      </w:pPr>
      <w:r>
        <w:rPr>
          <w:i/>
          <w:sz w:val="24"/>
          <w:szCs w:val="24"/>
        </w:rPr>
        <w:t xml:space="preserve">Авторизация – </w:t>
      </w:r>
      <w:r>
        <w:rPr>
          <w:sz w:val="24"/>
          <w:szCs w:val="24"/>
        </w:rPr>
        <w:t>процедура получения разрешения на проведение операции у Банка, выпустившего карту.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>2. Общие положения:</w:t>
      </w:r>
    </w:p>
    <w:p>
      <w:pPr>
        <w:pStyle w:val="style0"/>
        <w:jc w:val="both"/>
      </w:pPr>
      <w:r>
        <w:rPr>
          <w:sz w:val="24"/>
          <w:szCs w:val="24"/>
        </w:rPr>
        <w:t xml:space="preserve">А) Перед проведением тестирования Торговая точка сообщает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 адрес сервера, доменное имя сервера,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CGI</w:t>
      </w:r>
      <w:r>
        <w:rPr>
          <w:sz w:val="24"/>
          <w:szCs w:val="24"/>
        </w:rPr>
        <w:t xml:space="preserve">-скрипта, обрабатывающего уведомления на запросы проведения операций и порт для отправки уведомлений о результатах проведения операций. Данные параметры отправляются на эл. адрес  </w:t>
      </w:r>
      <w:r>
        <w:rPr>
          <w:sz w:val="24"/>
          <w:szCs w:val="24"/>
          <w:lang w:val="en-US"/>
        </w:rPr>
        <w:t>lakhtin</w:t>
      </w:r>
      <w:r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psbank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</w:p>
    <w:p>
      <w:pPr>
        <w:pStyle w:val="style0"/>
        <w:jc w:val="both"/>
      </w:pPr>
      <w:r>
        <w:rPr>
          <w:sz w:val="24"/>
          <w:szCs w:val="24"/>
        </w:rPr>
        <w:t xml:space="preserve">Б) Банк присваивает и сообщает значение параметров </w:t>
      </w:r>
      <w:r>
        <w:rPr>
          <w:sz w:val="24"/>
          <w:szCs w:val="24"/>
          <w:lang w:val="en-US"/>
        </w:rPr>
        <w:t>TERMINAL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MERCHANT</w:t>
      </w:r>
      <w:r>
        <w:rPr>
          <w:sz w:val="24"/>
          <w:szCs w:val="24"/>
        </w:rPr>
        <w:t xml:space="preserve"> для производственной среды.</w:t>
      </w:r>
    </w:p>
    <w:p>
      <w:pPr>
        <w:pStyle w:val="style0"/>
        <w:jc w:val="both"/>
      </w:pPr>
      <w:r>
        <w:rPr>
          <w:sz w:val="24"/>
          <w:szCs w:val="24"/>
        </w:rPr>
        <w:t xml:space="preserve">В) Банк генерирует и сообщает 2 компоненты секретного ключа для генерации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запросов в производственной среде. Чистое значение секретного ключа Торговая точка получает после выполнения операции </w:t>
      </w:r>
      <w:r>
        <w:rPr>
          <w:sz w:val="24"/>
          <w:szCs w:val="24"/>
          <w:lang w:val="en-US"/>
        </w:rPr>
        <w:t>XOR</w:t>
      </w:r>
      <w:r>
        <w:rPr>
          <w:sz w:val="24"/>
          <w:szCs w:val="24"/>
        </w:rPr>
        <w:t xml:space="preserve"> над компонентами. Для тестовой среды Торговая точка использует следующие параметры: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bookmarkStart w:id="0" w:name="__DdeLink__1177_2093569998"/>
      <w:r>
        <w:rPr>
          <w:sz w:val="24"/>
          <w:szCs w:val="24"/>
          <w:lang w:val="en-US"/>
        </w:rPr>
        <w:t>TERMINAL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 xml:space="preserve">= </w:t>
      </w:r>
      <w:bookmarkStart w:id="1" w:name="__DdeLink__1179_2093569998"/>
      <w:bookmarkEnd w:id="1"/>
      <w:r>
        <w:rPr>
          <w:sz w:val="24"/>
          <w:szCs w:val="24"/>
        </w:rPr>
        <w:t>79036768</w:t>
      </w:r>
    </w:p>
    <w:p>
      <w:pPr>
        <w:pStyle w:val="style0"/>
        <w:jc w:val="both"/>
      </w:pPr>
      <w:r>
        <w:rPr>
          <w:sz w:val="24"/>
          <w:szCs w:val="24"/>
          <w:lang w:val="en-US"/>
        </w:rPr>
        <w:t>MERCHANT</w:t>
      </w:r>
      <w:r>
        <w:rPr>
          <w:sz w:val="24"/>
          <w:szCs w:val="24"/>
        </w:rPr>
        <w:t xml:space="preserve"> = </w:t>
      </w:r>
      <w:bookmarkStart w:id="2" w:name="__DdeLink__1181_2093569998"/>
      <w:bookmarkEnd w:id="2"/>
      <w:r>
        <w:rPr>
          <w:sz w:val="24"/>
          <w:szCs w:val="24"/>
        </w:rPr>
        <w:t>790367686219999</w:t>
      </w:r>
    </w:p>
    <w:p>
      <w:pPr>
        <w:pStyle w:val="style0"/>
        <w:jc w:val="both"/>
      </w:pPr>
      <w:r>
        <w:rPr>
          <w:sz w:val="24"/>
          <w:szCs w:val="24"/>
          <w:lang w:val="en-US"/>
        </w:rPr>
        <w:t>KEY</w:t>
      </w:r>
      <w:r>
        <w:rPr>
          <w:sz w:val="24"/>
          <w:szCs w:val="24"/>
        </w:rPr>
        <w:t xml:space="preserve"> = </w:t>
      </w:r>
      <w:bookmarkStart w:id="3" w:name="__DdeLink__1183_2093569998"/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50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41160302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59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AA</w:t>
      </w:r>
      <w:r>
        <w:rPr>
          <w:sz w:val="24"/>
          <w:szCs w:val="24"/>
        </w:rPr>
        <w:t>3925</w:t>
      </w:r>
      <w:r>
        <w:rPr>
          <w:sz w:val="24"/>
          <w:szCs w:val="24"/>
          <w:lang w:val="en-US"/>
        </w:rPr>
        <w:t>C</w:t>
      </w:r>
      <w:bookmarkEnd w:id="3"/>
      <w:r>
        <w:rPr>
          <w:sz w:val="24"/>
          <w:szCs w:val="24"/>
        </w:rPr>
        <w:t>45</w:t>
      </w:r>
    </w:p>
    <w:p>
      <w:pPr>
        <w:pStyle w:val="style0"/>
        <w:jc w:val="both"/>
      </w:pPr>
      <w:r>
        <w:rPr>
          <w:sz w:val="24"/>
          <w:szCs w:val="24"/>
        </w:rPr>
        <w:t xml:space="preserve">№ </w:t>
      </w:r>
      <w:r>
        <w:rPr>
          <w:sz w:val="24"/>
          <w:szCs w:val="24"/>
        </w:rPr>
        <w:t xml:space="preserve">карты = </w:t>
      </w:r>
      <w:bookmarkStart w:id="4" w:name="__DdeLink__1185_2093569998"/>
      <w:bookmarkEnd w:id="4"/>
      <w:r>
        <w:rPr>
          <w:sz w:val="24"/>
          <w:szCs w:val="24"/>
        </w:rPr>
        <w:t>4268033703545624</w:t>
      </w:r>
    </w:p>
    <w:p>
      <w:pPr>
        <w:pStyle w:val="style0"/>
        <w:jc w:val="both"/>
      </w:pPr>
      <w:r>
        <w:rPr>
          <w:sz w:val="24"/>
          <w:szCs w:val="24"/>
        </w:rPr>
        <w:t>Срок действия карты: 03/14 (ММ/ГГ)</w:t>
      </w:r>
    </w:p>
    <w:p>
      <w:pPr>
        <w:pStyle w:val="style0"/>
        <w:jc w:val="both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Имя Держателя карты: </w:t>
      </w:r>
      <w:r>
        <w:rPr>
          <w:sz w:val="24"/>
          <w:szCs w:val="24"/>
          <w:lang w:val="en-US"/>
        </w:rPr>
        <w:t>TEST</w:t>
      </w:r>
    </w:p>
    <w:p>
      <w:pPr>
        <w:pStyle w:val="style0"/>
        <w:jc w:val="both"/>
      </w:pPr>
      <w:r>
        <w:rPr>
          <w:sz w:val="24"/>
          <w:szCs w:val="24"/>
          <w:lang w:val="en-US"/>
        </w:rPr>
        <w:t>CVV</w:t>
      </w:r>
      <w:r>
        <w:rPr>
          <w:sz w:val="24"/>
          <w:szCs w:val="24"/>
        </w:rPr>
        <w:t>2: 516</w:t>
      </w:r>
    </w:p>
    <w:p>
      <w:pPr>
        <w:pStyle w:val="style0"/>
        <w:jc w:val="both"/>
      </w:pPr>
      <w:r>
        <w:rPr>
          <w:b/>
          <w:sz w:val="24"/>
          <w:szCs w:val="24"/>
        </w:rPr>
        <w:t xml:space="preserve">С МОМЕНТА ПЕРЕДАЧИ КОМПОНЕНТОВ СЕКРЕТНОГО КЛЮЧА ДЛЯ ГЕНЕРАЦИИ </w:t>
      </w:r>
      <w:r>
        <w:rPr>
          <w:b/>
          <w:sz w:val="24"/>
          <w:szCs w:val="24"/>
          <w:lang w:val="en-US"/>
        </w:rPr>
        <w:t>HMAC</w:t>
      </w:r>
      <w:r>
        <w:rPr>
          <w:b/>
          <w:sz w:val="24"/>
          <w:szCs w:val="24"/>
        </w:rPr>
        <w:t xml:space="preserve"> В ПРОИЗВОДСТВЕННОЙ СРЕДЕ ТОРГОВОЙ ТОЧКЕ, ОНА НЕСЕТ ПОЛНУЮ ОТВЕТСВЕННОСТЬ ЗА СОХРАННОСТЬ КОНФИДЕНЦИАЛЬНОСТИ  ЗНАЧЕНИЙ ЭТИХ КОМПОНЕНТОВ.</w:t>
      </w:r>
    </w:p>
    <w:p>
      <w:pPr>
        <w:pStyle w:val="style0"/>
        <w:jc w:val="both"/>
      </w:pPr>
      <w:r>
        <w:rPr>
          <w:sz w:val="24"/>
          <w:szCs w:val="24"/>
        </w:rPr>
        <w:t xml:space="preserve">Г) Во избежание финансовых потерь, торговая точка </w:t>
      </w:r>
      <w:r>
        <w:rPr>
          <w:b/>
          <w:sz w:val="24"/>
          <w:szCs w:val="24"/>
        </w:rPr>
        <w:t>обязана</w:t>
      </w:r>
      <w:r>
        <w:rPr>
          <w:sz w:val="24"/>
          <w:szCs w:val="24"/>
        </w:rPr>
        <w:t xml:space="preserve"> генерировать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для каждого запроса на проведение любой операции и проверять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каждого уведомления о результате проведения этих запросов.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 xml:space="preserve">3. Алгоритм проведения операций: </w:t>
      </w:r>
    </w:p>
    <w:p>
      <w:pPr>
        <w:pStyle w:val="style0"/>
        <w:jc w:val="both"/>
      </w:pPr>
      <w:r>
        <w:rPr>
          <w:sz w:val="24"/>
          <w:szCs w:val="24"/>
        </w:rPr>
        <w:t xml:space="preserve">А) </w:t>
      </w:r>
      <w:r>
        <w:rPr>
          <w:i/>
          <w:sz w:val="24"/>
          <w:szCs w:val="24"/>
        </w:rPr>
        <w:t xml:space="preserve">Оплата – </w:t>
      </w:r>
      <w:r>
        <w:rPr>
          <w:sz w:val="24"/>
          <w:szCs w:val="24"/>
        </w:rPr>
        <w:t xml:space="preserve">Торговая точка формирует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– запрос и отправляет его на сервер Банка. Для тестовой среды: http://193.200.10.117:8080/cgi-bin/cgi_link. Для производственной среды: </w:t>
      </w:r>
      <w:bookmarkStart w:id="5" w:name="__DdeLink__1145_2093569998"/>
      <w:r>
        <w:rPr>
          <w:sz w:val="24"/>
          <w:szCs w:val="24"/>
        </w:rPr>
        <w:t>https://3ds.payment.ru</w:t>
      </w:r>
      <w:bookmarkEnd w:id="5"/>
      <w:r>
        <w:rPr>
          <w:sz w:val="24"/>
          <w:szCs w:val="24"/>
        </w:rPr>
        <w:t xml:space="preserve">/cgi-bin/cgi_link. Список отправляемых Торговой точкой параметров для проведения оплаты: </w:t>
      </w:r>
      <w:bookmarkStart w:id="6" w:name="__DdeLink__1149_2093569998"/>
      <w:r>
        <w:rPr>
          <w:b/>
          <w:sz w:val="24"/>
          <w:szCs w:val="24"/>
          <w:lang w:val="en-US"/>
        </w:rPr>
        <w:t>AMOUNT</w:t>
      </w:r>
      <w:bookmarkEnd w:id="6"/>
      <w:r>
        <w:rPr>
          <w:b/>
          <w:sz w:val="24"/>
          <w:szCs w:val="24"/>
        </w:rPr>
        <w:t xml:space="preserve">, </w:t>
      </w:r>
      <w:bookmarkStart w:id="7" w:name="__DdeLink__1153_2093569998"/>
      <w:bookmarkStart w:id="8" w:name="__DdeLink__1151_2093569998"/>
      <w:r>
        <w:rPr>
          <w:b/>
          <w:sz w:val="24"/>
          <w:szCs w:val="24"/>
          <w:lang w:val="en-US"/>
        </w:rPr>
        <w:t>CURRENCY</w:t>
      </w:r>
      <w:bookmarkEnd w:id="7"/>
      <w:bookmarkEnd w:id="8"/>
      <w:r>
        <w:rPr>
          <w:b/>
          <w:sz w:val="24"/>
          <w:szCs w:val="24"/>
        </w:rPr>
        <w:t xml:space="preserve">, </w:t>
      </w:r>
      <w:bookmarkStart w:id="9" w:name="__DdeLink__1155_2093569998"/>
      <w:bookmarkStart w:id="10" w:name="__DdeLink__1147_2093569998"/>
      <w:r>
        <w:rPr>
          <w:b/>
          <w:sz w:val="24"/>
          <w:szCs w:val="24"/>
          <w:lang w:val="en-US"/>
        </w:rPr>
        <w:t>ORDER</w:t>
      </w:r>
      <w:bookmarkEnd w:id="9"/>
      <w:bookmarkEnd w:id="10"/>
      <w:r>
        <w:rPr>
          <w:b/>
          <w:sz w:val="24"/>
          <w:szCs w:val="24"/>
        </w:rPr>
        <w:t xml:space="preserve">, </w:t>
      </w:r>
      <w:bookmarkStart w:id="11" w:name="__DdeLink__1157_2093569998"/>
      <w:r>
        <w:rPr>
          <w:b/>
          <w:sz w:val="24"/>
          <w:szCs w:val="24"/>
          <w:lang w:val="en-US"/>
        </w:rPr>
        <w:t>DESC</w:t>
      </w:r>
      <w:bookmarkEnd w:id="11"/>
      <w:r>
        <w:rPr>
          <w:b/>
          <w:sz w:val="24"/>
          <w:szCs w:val="24"/>
        </w:rPr>
        <w:t xml:space="preserve">, </w:t>
      </w:r>
      <w:bookmarkStart w:id="12" w:name="__DdeLink__1159_2093569998"/>
      <w:r>
        <w:rPr>
          <w:b/>
          <w:sz w:val="24"/>
          <w:szCs w:val="24"/>
          <w:lang w:val="en-US"/>
        </w:rPr>
        <w:t>TERMINAL</w:t>
      </w:r>
      <w:bookmarkEnd w:id="12"/>
      <w:r>
        <w:rPr>
          <w:b/>
          <w:sz w:val="24"/>
          <w:szCs w:val="24"/>
        </w:rPr>
        <w:t xml:space="preserve">, </w:t>
      </w:r>
      <w:bookmarkStart w:id="13" w:name="__DdeLink__1161_2093569998"/>
      <w:r>
        <w:rPr>
          <w:b/>
          <w:sz w:val="24"/>
          <w:szCs w:val="24"/>
          <w:lang w:val="en-US"/>
        </w:rPr>
        <w:t>TRTYPE</w:t>
      </w:r>
      <w:bookmarkEnd w:id="13"/>
      <w:r>
        <w:rPr>
          <w:b/>
          <w:sz w:val="24"/>
          <w:szCs w:val="24"/>
        </w:rPr>
        <w:t xml:space="preserve">, </w:t>
      </w:r>
      <w:bookmarkStart w:id="14" w:name="__DdeLink__1163_2093569998"/>
      <w:r>
        <w:rPr>
          <w:b/>
          <w:sz w:val="24"/>
          <w:szCs w:val="24"/>
          <w:lang w:val="en-US"/>
        </w:rPr>
        <w:t>MERCH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bookmarkEnd w:id="14"/>
      <w:r>
        <w:rPr>
          <w:b/>
          <w:sz w:val="24"/>
          <w:szCs w:val="24"/>
        </w:rPr>
        <w:t xml:space="preserve">, </w:t>
      </w:r>
      <w:bookmarkStart w:id="15" w:name="__DdeLink__1165_2093569998"/>
      <w:r>
        <w:rPr>
          <w:b/>
          <w:sz w:val="24"/>
          <w:szCs w:val="24"/>
          <w:lang w:val="en-US"/>
        </w:rPr>
        <w:t>MERCHANT</w:t>
      </w:r>
      <w:bookmarkEnd w:id="15"/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bookmarkStart w:id="16" w:name="__DdeLink__1167_2093569998"/>
      <w:r>
        <w:rPr>
          <w:b/>
          <w:sz w:val="24"/>
          <w:szCs w:val="24"/>
          <w:lang w:val="en-US"/>
        </w:rPr>
        <w:t>EMAIL</w:t>
      </w:r>
      <w:bookmarkEnd w:id="16"/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bookmarkStart w:id="17" w:name="__DdeLink__1169_2093569998"/>
      <w:r>
        <w:rPr>
          <w:b/>
          <w:sz w:val="24"/>
          <w:szCs w:val="24"/>
          <w:lang w:val="en-US"/>
        </w:rPr>
        <w:t>TIMESTAMP</w:t>
      </w:r>
      <w:bookmarkEnd w:id="17"/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bookmarkStart w:id="18" w:name="__DdeLink__1171_2093569998"/>
      <w:r>
        <w:rPr>
          <w:b/>
          <w:sz w:val="24"/>
          <w:szCs w:val="24"/>
          <w:lang w:val="en-US"/>
        </w:rPr>
        <w:t>NONCE</w:t>
      </w:r>
      <w:bookmarkEnd w:id="18"/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bookmarkStart w:id="19" w:name="__DdeLink__1173_2093569998"/>
      <w:r>
        <w:rPr>
          <w:b/>
          <w:sz w:val="24"/>
          <w:szCs w:val="24"/>
          <w:lang w:val="en-US"/>
        </w:rPr>
        <w:t>BACKREF</w:t>
      </w:r>
      <w:bookmarkEnd w:id="19"/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bookmarkStart w:id="20" w:name="__DdeLink__1175_2093569998"/>
      <w:r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SIGN</w:t>
      </w:r>
      <w:bookmarkEnd w:id="20"/>
      <w:r>
        <w:rPr>
          <w:sz w:val="24"/>
          <w:szCs w:val="24"/>
        </w:rPr>
        <w:t xml:space="preserve">.  Названия  параметров передаются в верхнем регистре. Порядок передачи параметров не важен. Описание параметров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– запроса и допустимых значений приведены в соответствующей таблице. Банк получает запрос, проверяет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(переданный параметром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SIGN</w:t>
      </w:r>
      <w:r>
        <w:rPr>
          <w:sz w:val="24"/>
          <w:szCs w:val="24"/>
        </w:rPr>
        <w:t xml:space="preserve">), сформированный Торговой точкой, проводит авторизацию и отправляет результат проведения операции в виде POST – запроса по оговоренному заранее (п. 2А) с Торговой точкой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. Список отправляемых Банком параметров по результату проведения оплаты: </w:t>
      </w:r>
      <w:r>
        <w:rPr>
          <w:b/>
          <w:sz w:val="24"/>
          <w:szCs w:val="24"/>
          <w:lang w:val="en-US"/>
        </w:rPr>
        <w:t>AMOUNT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CURRENCY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ORDER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DESC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TERMINAL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TRTYPE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MERCH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MERCHANT</w:t>
      </w:r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r>
        <w:rPr>
          <w:b/>
          <w:sz w:val="24"/>
          <w:szCs w:val="24"/>
          <w:lang w:val="en-US"/>
        </w:rPr>
        <w:t>EMAIL</w:t>
      </w:r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r>
        <w:rPr>
          <w:b/>
          <w:sz w:val="24"/>
          <w:szCs w:val="24"/>
          <w:lang w:val="en-US"/>
        </w:rPr>
        <w:t>TIMESTAMP</w:t>
      </w:r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r>
        <w:rPr>
          <w:b/>
          <w:sz w:val="24"/>
          <w:szCs w:val="24"/>
          <w:lang w:val="en-US"/>
        </w:rPr>
        <w:t>NONCE</w:t>
      </w:r>
      <w:r>
        <w:rPr>
          <w:b/>
          <w:sz w:val="24"/>
          <w:szCs w:val="24"/>
        </w:rPr>
        <w:t>,</w:t>
      </w:r>
      <w:r>
        <w:rPr>
          <w:b/>
        </w:rPr>
        <w:t xml:space="preserve"> </w:t>
      </w:r>
      <w:r>
        <w:rPr>
          <w:b/>
          <w:sz w:val="24"/>
          <w:szCs w:val="24"/>
          <w:lang w:val="en-US"/>
        </w:rPr>
        <w:t>BACKREF</w:t>
      </w:r>
      <w:r>
        <w:rPr>
          <w:b/>
          <w:sz w:val="24"/>
          <w:szCs w:val="24"/>
        </w:rPr>
        <w:t>,</w:t>
      </w:r>
      <w:r>
        <w:rPr>
          <w:b/>
        </w:rPr>
        <w:t xml:space="preserve">  </w:t>
      </w:r>
      <w:r>
        <w:rPr>
          <w:b/>
          <w:sz w:val="24"/>
          <w:szCs w:val="24"/>
          <w:lang w:val="en-US"/>
        </w:rPr>
        <w:t>RESULT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RC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RCTEXT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AUTHCODE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RRN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REF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SIGN</w:t>
      </w:r>
      <w:r>
        <w:rPr>
          <w:b/>
          <w:sz w:val="24"/>
          <w:szCs w:val="24"/>
        </w:rPr>
        <w:t>.</w:t>
      </w:r>
    </w:p>
    <w:p>
      <w:pPr>
        <w:pStyle w:val="style0"/>
        <w:jc w:val="both"/>
      </w:pPr>
      <w:r>
        <w:rPr>
          <w:sz w:val="24"/>
          <w:szCs w:val="24"/>
        </w:rPr>
        <w:t xml:space="preserve">Б) </w:t>
      </w:r>
      <w:r>
        <w:rPr>
          <w:i/>
          <w:sz w:val="24"/>
          <w:szCs w:val="24"/>
        </w:rPr>
        <w:t>Отмена</w:t>
      </w:r>
      <w:r>
        <w:rPr>
          <w:sz w:val="24"/>
          <w:szCs w:val="24"/>
        </w:rPr>
        <w:t xml:space="preserve"> - Торговая точка формирует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– запрос и отправляет его на сервер Банка. Для тестовой среды: http://193.200.10.117:8080/cgi-bin/cgi_link. Для производственной среды: https://3ds.payment.ru/cgi-bin/cgi_link. Список отправляемых Торговой точкой параметров для проведения отмены: </w:t>
      </w:r>
      <w:r>
        <w:rPr>
          <w:b/>
          <w:sz w:val="24"/>
          <w:szCs w:val="24"/>
          <w:lang w:val="en-US"/>
        </w:rPr>
        <w:t>ORDER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AMOUNT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CURRENCY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ORG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AMOUNT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RRN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REF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TRTYPE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TERMINAL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BACKREF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EMAIL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TIMESTAMP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NONCE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SIGN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Названия  параметров передаются в верхнем регистре. Порядок передачи параметров не важен. Описание параметров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– запроса и допустимых значений приведены в соответствующей таблице. Банк получает запрос, проверяет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(переданный параметром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SIGN</w:t>
      </w:r>
      <w:r>
        <w:rPr>
          <w:sz w:val="24"/>
          <w:szCs w:val="24"/>
        </w:rPr>
        <w:t xml:space="preserve">), сформированный Торговой точкой, проводит авторизацию и отправляет результат проведения операции в виде POST – запроса по оговоренному заранее (п. 2А) с Торговой точкой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. Список отправляемых Банком параметров по результату проведения отмены: </w:t>
      </w:r>
      <w:r>
        <w:rPr>
          <w:b/>
          <w:sz w:val="24"/>
          <w:szCs w:val="24"/>
          <w:lang w:val="en-US"/>
        </w:rPr>
        <w:t>ORDER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AMOUNT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CURRENCY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ORG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AMOUNT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RRN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REF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TRTYPE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TERMINAL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BACKREF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EMAIL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TIMESTAMP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NONCE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RESULT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RC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RCTEXT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SIGN</w:t>
      </w:r>
      <w:r>
        <w:rPr>
          <w:b/>
          <w:sz w:val="24"/>
          <w:szCs w:val="24"/>
        </w:rPr>
        <w:t>.</w:t>
      </w:r>
    </w:p>
    <w:p>
      <w:pPr>
        <w:sectPr>
          <w:type w:val="nextPage"/>
          <w:pgSz w:h="16838" w:w="11906"/>
          <w:pgMar w:bottom="1134" w:footer="0" w:gutter="0" w:header="0" w:left="1701" w:right="851" w:top="1134"/>
          <w:pgNumType w:fmt="decimal"/>
          <w:formProt w:val="false"/>
          <w:textDirection w:val="lrTb"/>
          <w:docGrid w:charSpace="4096" w:linePitch="360" w:type="default"/>
        </w:sectPr>
        <w:pStyle w:val="style0"/>
        <w:jc w:val="both"/>
      </w:pPr>
      <w:r>
        <w:rPr>
          <w:b/>
          <w:sz w:val="24"/>
          <w:szCs w:val="24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 xml:space="preserve">4. Описание параметров </w:t>
      </w:r>
      <w:r>
        <w:rPr>
          <w:b/>
          <w:sz w:val="24"/>
          <w:szCs w:val="24"/>
          <w:lang w:val="en-US"/>
        </w:rPr>
        <w:t>POST</w:t>
      </w:r>
      <w:r>
        <w:rPr>
          <w:b/>
          <w:sz w:val="24"/>
          <w:szCs w:val="24"/>
        </w:rPr>
        <w:t xml:space="preserve"> – запроса и допустимых значений. </w:t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1727"/>
        <w:gridCol w:w="1799"/>
        <w:gridCol w:w="1800"/>
        <w:gridCol w:w="1980"/>
        <w:gridCol w:w="1980"/>
        <w:gridCol w:w="1799"/>
        <w:gridCol w:w="3603"/>
      </w:tblGrid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Название параметра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Формат данных  / длина *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Значение для оплаты (запрос от Торговой точки)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Значение для оплаты (ответ от Банка)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Значение для отмены (запрос от Торговой точки)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Значение для отмены (ответ от Банка)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AMOUNT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  с десятичной точкой / 1-11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Сумма операции</w:t>
            </w:r>
          </w:p>
        </w:tc>
      </w:tr>
      <w:tr>
        <w:trPr>
          <w:trHeight w:hRule="atLeast" w:val="485"/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CURRENCY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 / 3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RUB, USD, EUR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RUR, USD, EUR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Валюта операции</w:t>
            </w:r>
          </w:p>
        </w:tc>
      </w:tr>
      <w:tr>
        <w:trPr>
          <w:trHeight w:hRule="atLeast" w:val="535"/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ORDER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 / 6-32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на оплату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Уникальный номер заказа.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DESC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/ 50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Описание заказа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TERMINAL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 / 8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Торговая точка передает значение , присвоенное банком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Торговая точка передает значение , присвоенное банком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Уникальный номер виртуального терминала торговой точки.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TRTYPE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 / 1-2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24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24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Тип запрашиваемой операции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MERCH_NAME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/ 50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Короткое название Торговой точки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MERCHANT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 / 12-15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Торговая точка передает значение , присвоенное банком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Уникальный номер торговой точки.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 / 3 - 80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Адрес эл. почты Торговой  точки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TIMESTAMP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/ 14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UTC</w:t>
            </w:r>
            <w:r>
              <w:rPr>
                <w:rFonts w:cs="Calibri"/>
                <w:sz w:val="18"/>
                <w:szCs w:val="18"/>
              </w:rPr>
              <w:t xml:space="preserve"> время проведения операции в формате YYYYMMDDHHM</w:t>
            </w:r>
            <w:r>
              <w:rPr>
                <w:rFonts w:cs="Calibri"/>
                <w:sz w:val="18"/>
                <w:szCs w:val="18"/>
                <w:lang w:val="en-US"/>
              </w:rPr>
              <w:t>I</w:t>
            </w:r>
            <w:r>
              <w:rPr>
                <w:rFonts w:cs="Calibri"/>
                <w:sz w:val="18"/>
                <w:szCs w:val="18"/>
              </w:rPr>
              <w:t>SS (Московское время -4 часа)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NONCE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/ 16-32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Случайное число в шестнадцатеричном формате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BACKREF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/ 1-250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URL</w:t>
            </w:r>
            <w:r>
              <w:rPr>
                <w:rFonts w:cs="Calibri"/>
                <w:sz w:val="18"/>
                <w:szCs w:val="18"/>
              </w:rPr>
              <w:t xml:space="preserve"> для возврата на  сайт Торговой точки после  проведения операции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P_SIGN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/ </w:t>
            </w:r>
            <w:r>
              <w:rPr>
                <w:rFonts w:cs="Calibri"/>
                <w:sz w:val="18"/>
                <w:szCs w:val="18"/>
              </w:rPr>
              <w:t>40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HMAC запроса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RC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 /1-2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Respose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Code</w:t>
            </w:r>
            <w:r>
              <w:rPr>
                <w:rFonts w:cs="Calibri"/>
                <w:sz w:val="18"/>
                <w:szCs w:val="18"/>
              </w:rPr>
              <w:t>. Код ответа на попытку проведения операции.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RCTEXT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/ 1-250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Response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Code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Text</w:t>
            </w:r>
            <w:r>
              <w:rPr>
                <w:rFonts w:cs="Calibri"/>
                <w:sz w:val="18"/>
                <w:szCs w:val="18"/>
              </w:rPr>
              <w:t>. Расшифровка кода ответа на попытку проведения операции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AUTHCODE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символьный/ 6-32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Код авторизации. Буквенно-цифровой код, выдаваемый банком, выпустившим карту, в случае успешной попытки проведения операции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RRN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 / 12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ответа на оплату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Retrieval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Reference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Number</w:t>
            </w:r>
            <w:r>
              <w:rPr>
                <w:rFonts w:cs="Calibri"/>
                <w:sz w:val="18"/>
                <w:szCs w:val="18"/>
              </w:rPr>
              <w:t xml:space="preserve"> – Уникальный идентификатор запроса на списание средств с карты (</w:t>
            </w:r>
            <w:r>
              <w:rPr>
                <w:rFonts w:cs="Calibri"/>
                <w:sz w:val="18"/>
                <w:szCs w:val="18"/>
                <w:lang w:val="en-US"/>
              </w:rPr>
              <w:t>RRN</w:t>
            </w:r>
            <w:r>
              <w:rPr>
                <w:rFonts w:cs="Calibri"/>
                <w:sz w:val="18"/>
                <w:szCs w:val="18"/>
              </w:rPr>
              <w:t xml:space="preserve"> оплаты и отмены всегда совпадают)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INT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REF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символьный / 1-32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Банк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ответа на оплату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  <w:lang w:val="en-US"/>
              </w:rPr>
              <w:t>Internal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Reference</w:t>
            </w:r>
            <w:r>
              <w:rPr>
                <w:rFonts w:cs="Calibri"/>
                <w:sz w:val="18"/>
                <w:szCs w:val="18"/>
              </w:rPr>
              <w:t xml:space="preserve"> – Уникальный идентификатор операции на платежном шлюзе (</w:t>
            </w:r>
            <w:r>
              <w:rPr>
                <w:rFonts w:cs="Calibri"/>
                <w:sz w:val="18"/>
                <w:szCs w:val="18"/>
                <w:lang w:val="en-US"/>
              </w:rPr>
              <w:t>Int</w:t>
            </w:r>
            <w:r>
              <w:rPr>
                <w:rFonts w:cs="Calibri"/>
                <w:sz w:val="18"/>
                <w:szCs w:val="18"/>
              </w:rPr>
              <w:t>_</w:t>
            </w:r>
            <w:r>
              <w:rPr>
                <w:rFonts w:cs="Calibri"/>
                <w:sz w:val="18"/>
                <w:szCs w:val="18"/>
                <w:lang w:val="en-US"/>
              </w:rPr>
              <w:t>Ref</w:t>
            </w:r>
            <w:r>
              <w:rPr>
                <w:rFonts w:cs="Calibri"/>
                <w:sz w:val="18"/>
                <w:szCs w:val="18"/>
              </w:rPr>
              <w:t xml:space="preserve"> оплаты и отмены всегда совпадают)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RESULT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 / 1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  <w:t>0 – операция успешно завершена</w:t>
            </w:r>
          </w:p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  <w:t>1 – запрос идентифицирован как повторный</w:t>
            </w:r>
          </w:p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  <w:t>2 – запрос отклонен  Банком</w:t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3 – запрос отклонен Платежным шлюзом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  <w:t>0 – операция успешно завершена</w:t>
            </w:r>
          </w:p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  <w:t>1 – запрос идентифицирован как повторный</w:t>
            </w:r>
          </w:p>
          <w:p>
            <w:pPr>
              <w:pStyle w:val="style0"/>
              <w:jc w:val="center"/>
            </w:pPr>
            <w:r>
              <w:rPr>
                <w:rFonts w:cs="Calibri"/>
                <w:sz w:val="18"/>
                <w:szCs w:val="18"/>
              </w:rPr>
              <w:t>2 – запрос отклонен  Банком</w:t>
            </w:r>
          </w:p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3 – запрос отклонен Платежным шлюзом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/>
              <w:spacing w:after="200" w:before="0" w:line="276" w:lineRule="auto"/>
            </w:pPr>
            <w:r>
              <w:rPr>
                <w:rFonts w:cs="Calibri"/>
                <w:sz w:val="18"/>
                <w:szCs w:val="18"/>
              </w:rPr>
              <w:t>Результат обработки запроса на операцию.</w:t>
            </w:r>
          </w:p>
        </w:tc>
      </w:tr>
      <w:tr>
        <w:trPr>
          <w:cantSplit w:val="false"/>
        </w:trPr>
        <w:tc>
          <w:tcPr>
            <w:tcW w:type="dxa" w:w="172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lang w:val="en-US"/>
              </w:rPr>
              <w:t>ORG_AMOUNT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числовой  с десятичной точкой / 1-11</w:t>
            </w:r>
          </w:p>
        </w:tc>
        <w:tc>
          <w:tcPr>
            <w:tcW w:type="dxa" w:w="18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Не используется</w:t>
            </w:r>
          </w:p>
        </w:tc>
        <w:tc>
          <w:tcPr>
            <w:tcW w:type="dxa" w:w="19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Формирует Торговая точка</w:t>
            </w:r>
          </w:p>
        </w:tc>
        <w:tc>
          <w:tcPr>
            <w:tcW w:type="dxa" w:w="17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>
                <w:rFonts w:cs="Calibri"/>
                <w:sz w:val="18"/>
                <w:szCs w:val="18"/>
              </w:rPr>
              <w:t>Транслируется из запроса Торговой  точки</w:t>
            </w:r>
          </w:p>
        </w:tc>
        <w:tc>
          <w:tcPr>
            <w:tcW w:type="dxa" w:w="360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/>
              <w:spacing w:after="200" w:before="0" w:line="276" w:lineRule="auto"/>
            </w:pPr>
            <w:r>
              <w:rPr>
                <w:rFonts w:cs="Calibri"/>
                <w:sz w:val="18"/>
                <w:szCs w:val="18"/>
              </w:rPr>
              <w:t>Сумма оригинальной операции (сумма оплаты)</w:t>
            </w:r>
          </w:p>
        </w:tc>
      </w:tr>
    </w:tbl>
    <w:p>
      <w:pPr>
        <w:pStyle w:val="style0"/>
        <w:jc w:val="both"/>
      </w:pPr>
      <w:r>
        <w:rPr>
          <w:b/>
          <w:sz w:val="24"/>
          <w:szCs w:val="24"/>
        </w:rPr>
      </w:r>
    </w:p>
    <w:p>
      <w:pPr>
        <w:pStyle w:val="style0"/>
        <w:ind w:hanging="0" w:left="360" w:right="0"/>
        <w:jc w:val="both"/>
      </w:pPr>
      <w:r>
        <w:rPr>
          <w:b/>
          <w:sz w:val="24"/>
          <w:szCs w:val="24"/>
        </w:rPr>
        <w:t xml:space="preserve">* Формат данных: </w:t>
      </w:r>
      <w:r>
        <w:rPr>
          <w:sz w:val="24"/>
          <w:szCs w:val="24"/>
        </w:rPr>
        <w:t>А) Числовой 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содержит только числа Б) Символьный – может содержать любые печатаемые символы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sectPr>
          <w:type w:val="nextPage"/>
          <w:pgSz w:h="11906" w:orient="landscape" w:w="16838"/>
          <w:pgMar w:bottom="851" w:footer="0" w:gutter="0" w:header="0" w:left="1134" w:right="1134" w:top="1701"/>
          <w:pgNumType w:fmt="decimal"/>
          <w:formProt w:val="false"/>
          <w:textDirection w:val="lrTb"/>
          <w:docGrid w:charSpace="4096" w:linePitch="360" w:type="default"/>
        </w:sect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 xml:space="preserve">5. Алгоритм формирования </w:t>
      </w:r>
      <w:r>
        <w:rPr>
          <w:b/>
          <w:sz w:val="24"/>
          <w:szCs w:val="24"/>
          <w:lang w:val="en-US"/>
        </w:rPr>
        <w:t>HMAC</w:t>
      </w:r>
      <w:r>
        <w:rPr>
          <w:b/>
          <w:sz w:val="24"/>
          <w:szCs w:val="24"/>
        </w:rPr>
        <w:t xml:space="preserve">. </w:t>
      </w:r>
    </w:p>
    <w:p>
      <w:pPr>
        <w:pStyle w:val="style0"/>
        <w:jc w:val="both"/>
      </w:pP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формируется в 2 этапа: 1 – формирование строки данных для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. 2 – Формирование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>.</w:t>
      </w:r>
    </w:p>
    <w:p>
      <w:pPr>
        <w:pStyle w:val="style0"/>
        <w:jc w:val="both"/>
      </w:pP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должен проверяться Банком при получении запроса на проведение операции от Торговой точки и при получении ответа по результату проведения операции от Банка Торговой точкой. </w:t>
      </w:r>
    </w:p>
    <w:p>
      <w:pPr>
        <w:pStyle w:val="style0"/>
        <w:jc w:val="both"/>
      </w:pPr>
      <w:r>
        <w:rPr>
          <w:sz w:val="24"/>
          <w:szCs w:val="24"/>
        </w:rPr>
        <w:t xml:space="preserve">1) Если параметр участвует в формировании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, то после его обработки для формирования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,  данные будут иметь вид:  (длина значения параметра)+(значение параметра). Если же параметр, участвуя в формировании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, не определен (передается с неопределенным значением), то в строку для формирования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передается символ «-».</w:t>
      </w:r>
    </w:p>
    <w:p>
      <w:pPr>
        <w:pStyle w:val="style0"/>
        <w:ind w:hanging="0" w:left="720" w:right="0"/>
        <w:jc w:val="both"/>
      </w:pPr>
      <w:r>
        <w:rPr>
          <w:b/>
          <w:sz w:val="24"/>
          <w:szCs w:val="24"/>
        </w:rPr>
        <w:t xml:space="preserve">ПРИМЕР: </w:t>
      </w:r>
    </w:p>
    <w:p>
      <w:pPr>
        <w:pStyle w:val="style0"/>
        <w:ind w:hanging="0" w:left="720" w:right="0"/>
        <w:jc w:val="both"/>
      </w:pPr>
      <w:r>
        <w:rPr>
          <w:i/>
          <w:sz w:val="24"/>
          <w:szCs w:val="24"/>
        </w:rPr>
        <w:t xml:space="preserve">Торговая точка передает </w:t>
      </w:r>
      <w:r>
        <w:rPr>
          <w:i/>
          <w:sz w:val="24"/>
          <w:szCs w:val="24"/>
          <w:lang w:val="en-US"/>
        </w:rPr>
        <w:t>POST</w:t>
      </w:r>
      <w:r>
        <w:rPr>
          <w:i/>
          <w:sz w:val="24"/>
          <w:szCs w:val="24"/>
        </w:rPr>
        <w:t xml:space="preserve">-запрос с целью проведения операции оплаты. Среди прочих параметров присутствуют: </w:t>
      </w:r>
      <w:r>
        <w:rPr>
          <w:i/>
          <w:sz w:val="24"/>
          <w:szCs w:val="24"/>
          <w:lang w:val="en-US"/>
        </w:rPr>
        <w:t>AMOUNT</w:t>
      </w:r>
      <w:r>
        <w:rPr>
          <w:i/>
          <w:sz w:val="24"/>
          <w:szCs w:val="24"/>
        </w:rPr>
        <w:t xml:space="preserve">=67.22, </w:t>
      </w:r>
      <w:r>
        <w:rPr>
          <w:i/>
          <w:sz w:val="24"/>
          <w:szCs w:val="24"/>
          <w:lang w:val="en-US"/>
        </w:rPr>
        <w:t>ORDER</w:t>
      </w:r>
      <w:r>
        <w:rPr>
          <w:i/>
          <w:sz w:val="24"/>
          <w:szCs w:val="24"/>
        </w:rPr>
        <w:t xml:space="preserve">=123987, </w:t>
      </w:r>
      <w:r>
        <w:rPr>
          <w:i/>
          <w:sz w:val="24"/>
          <w:szCs w:val="24"/>
          <w:lang w:val="en-US"/>
        </w:rPr>
        <w:t>DESC</w:t>
      </w:r>
      <w:r>
        <w:rPr>
          <w:i/>
          <w:sz w:val="24"/>
          <w:szCs w:val="24"/>
        </w:rPr>
        <w:t xml:space="preserve">=””, </w:t>
      </w:r>
      <w:r>
        <w:rPr>
          <w:i/>
          <w:sz w:val="24"/>
          <w:szCs w:val="24"/>
          <w:lang w:val="en-US"/>
        </w:rPr>
        <w:t>TERMINAL</w:t>
      </w:r>
      <w:r>
        <w:rPr>
          <w:i/>
          <w:sz w:val="24"/>
          <w:szCs w:val="24"/>
        </w:rPr>
        <w:t xml:space="preserve">=”12365478”. Последовательность соединения параметров: </w:t>
      </w:r>
      <w:r>
        <w:rPr>
          <w:i/>
          <w:sz w:val="24"/>
          <w:szCs w:val="24"/>
          <w:lang w:val="en-US"/>
        </w:rPr>
        <w:t>AMOUNT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ORDER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DESC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TERMINAL</w:t>
      </w:r>
      <w:r>
        <w:rPr>
          <w:i/>
          <w:sz w:val="24"/>
          <w:szCs w:val="24"/>
        </w:rPr>
        <w:t>.</w:t>
      </w:r>
    </w:p>
    <w:p>
      <w:pPr>
        <w:pStyle w:val="style0"/>
        <w:jc w:val="both"/>
      </w:pPr>
      <w:r>
        <w:rPr>
          <w:i/>
          <w:sz w:val="24"/>
          <w:szCs w:val="24"/>
        </w:rPr>
        <w:t xml:space="preserve">             </w:t>
      </w:r>
      <w:r>
        <w:rPr>
          <w:i/>
          <w:sz w:val="24"/>
          <w:szCs w:val="24"/>
        </w:rPr>
        <w:t xml:space="preserve">В приведенном примере, строка для формирования </w:t>
      </w:r>
      <w:r>
        <w:rPr>
          <w:i/>
          <w:sz w:val="24"/>
          <w:szCs w:val="24"/>
          <w:lang w:val="en-US"/>
        </w:rPr>
        <w:t>HMAC</w:t>
      </w:r>
      <w:r>
        <w:rPr>
          <w:i/>
          <w:sz w:val="24"/>
          <w:szCs w:val="24"/>
        </w:rPr>
        <w:t xml:space="preserve"> будет выглядеть:</w:t>
      </w:r>
    </w:p>
    <w:p>
      <w:pPr>
        <w:pStyle w:val="style0"/>
        <w:jc w:val="both"/>
      </w:pPr>
      <w:r>
        <w:rPr>
          <w:i/>
          <w:sz w:val="24"/>
          <w:szCs w:val="24"/>
        </w:rPr>
        <w:t xml:space="preserve">             </w:t>
      </w:r>
      <w:r>
        <w:rPr>
          <w:b/>
          <w:i/>
          <w:sz w:val="24"/>
          <w:szCs w:val="24"/>
        </w:rPr>
        <w:t>567.226123987-812365478</w:t>
      </w:r>
    </w:p>
    <w:p>
      <w:pPr>
        <w:pStyle w:val="style0"/>
      </w:pPr>
      <w:r>
        <w:rPr>
          <w:sz w:val="24"/>
          <w:szCs w:val="24"/>
        </w:rPr>
        <w:t xml:space="preserve">2)  Формируется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 по алгоритму </w:t>
      </w:r>
      <w:r>
        <w:rPr>
          <w:sz w:val="24"/>
          <w:szCs w:val="24"/>
          <w:lang w:val="en-US"/>
        </w:rPr>
        <w:t>SHA</w:t>
      </w:r>
      <w:r>
        <w:rPr>
          <w:sz w:val="24"/>
          <w:szCs w:val="24"/>
        </w:rPr>
        <w:t xml:space="preserve">1 от подготовленной строки (в примере - </w:t>
      </w:r>
      <w:r>
        <w:rPr>
          <w:b/>
          <w:sz w:val="24"/>
          <w:szCs w:val="24"/>
        </w:rPr>
        <w:t>567.226123987-812365478</w:t>
      </w:r>
      <w:r>
        <w:rPr>
          <w:sz w:val="24"/>
          <w:szCs w:val="24"/>
        </w:rPr>
        <w:t>) с использованием секретного ключа Торговой точки. Ключ должен быть упакован в бинарную строку.</w:t>
      </w:r>
    </w:p>
    <w:p>
      <w:pPr>
        <w:pStyle w:val="style0"/>
      </w:pP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ПРИМЕР ФОРМИРОВАНИЯ </w:t>
      </w:r>
      <w:r>
        <w:rPr>
          <w:b/>
          <w:sz w:val="24"/>
          <w:szCs w:val="24"/>
          <w:lang w:val="en-US"/>
        </w:rPr>
        <w:t>HMAC</w:t>
      </w:r>
      <w:r>
        <w:rPr>
          <w:b/>
          <w:sz w:val="24"/>
          <w:szCs w:val="24"/>
        </w:rPr>
        <w:t xml:space="preserve"> ДЛЯ </w:t>
      </w:r>
      <w:r>
        <w:rPr>
          <w:b/>
          <w:sz w:val="24"/>
          <w:szCs w:val="24"/>
          <w:lang w:val="en-US"/>
        </w:rPr>
        <w:t>PHP</w:t>
      </w:r>
      <w:r>
        <w:rPr>
          <w:b/>
          <w:sz w:val="24"/>
          <w:szCs w:val="24"/>
        </w:rPr>
        <w:t>:</w:t>
      </w:r>
    </w:p>
    <w:p>
      <w:pPr>
        <w:pStyle w:val="style0"/>
      </w:pPr>
      <w:r>
        <w:rPr>
          <w:rFonts w:cs="Courier"/>
          <w:color w:val="000000"/>
          <w:sz w:val="24"/>
          <w:szCs w:val="24"/>
          <w:lang w:eastAsia="ru-RU" w:val="en-US"/>
        </w:rPr>
        <w:t>&lt;?php</w:t>
        <w:br/>
        <w:t>$hmac = hash_hmac('sha1','</w:t>
      </w:r>
      <w:r>
        <w:rPr>
          <w:rFonts w:cs="Courier"/>
          <w:color w:val="000000"/>
          <w:sz w:val="24"/>
          <w:szCs w:val="24"/>
          <w:lang w:eastAsia="ru-RU"/>
        </w:rPr>
        <w:t>подготовленная</w:t>
      </w:r>
      <w:r>
        <w:rPr>
          <w:rFonts w:cs="Courier"/>
          <w:color w:val="000000"/>
          <w:sz w:val="24"/>
          <w:szCs w:val="24"/>
          <w:lang w:eastAsia="ru-RU" w:val="en-US"/>
        </w:rPr>
        <w:t xml:space="preserve"> </w:t>
      </w:r>
      <w:r>
        <w:rPr>
          <w:rFonts w:cs="Courier"/>
          <w:color w:val="000000"/>
          <w:sz w:val="24"/>
          <w:szCs w:val="24"/>
          <w:lang w:eastAsia="ru-RU"/>
        </w:rPr>
        <w:t>строка</w:t>
      </w:r>
      <w:r>
        <w:rPr>
          <w:rFonts w:cs="Courier"/>
          <w:color w:val="000000"/>
          <w:sz w:val="24"/>
          <w:szCs w:val="24"/>
          <w:lang w:eastAsia="ru-RU" w:val="en-US"/>
        </w:rPr>
        <w:t>',pack('H*', '</w:t>
      </w:r>
      <w:r>
        <w:rPr>
          <w:rFonts w:cs="Courier"/>
          <w:color w:val="000000"/>
          <w:sz w:val="24"/>
          <w:szCs w:val="24"/>
          <w:lang w:eastAsia="ru-RU"/>
        </w:rPr>
        <w:t>секретный</w:t>
      </w:r>
      <w:r>
        <w:rPr>
          <w:rFonts w:cs="Courier"/>
          <w:color w:val="000000"/>
          <w:sz w:val="24"/>
          <w:szCs w:val="24"/>
          <w:lang w:eastAsia="ru-RU" w:val="en-US"/>
        </w:rPr>
        <w:t xml:space="preserve"> </w:t>
      </w:r>
      <w:r>
        <w:rPr>
          <w:rFonts w:cs="Courier"/>
          <w:color w:val="000000"/>
          <w:sz w:val="24"/>
          <w:szCs w:val="24"/>
          <w:lang w:eastAsia="ru-RU"/>
        </w:rPr>
        <w:t>ключ</w:t>
      </w:r>
      <w:r>
        <w:rPr>
          <w:rFonts w:cs="Courier"/>
          <w:color w:val="000000"/>
          <w:sz w:val="24"/>
          <w:szCs w:val="24"/>
          <w:lang w:eastAsia="ru-RU" w:val="en-US"/>
        </w:rPr>
        <w:t>'));</w:t>
        <w:br/>
        <w:t>?&gt;</w:t>
      </w:r>
    </w:p>
    <w:p>
      <w:pPr>
        <w:pStyle w:val="style0"/>
      </w:pPr>
      <w:r>
        <w:rPr>
          <w:sz w:val="24"/>
          <w:szCs w:val="24"/>
        </w:rPr>
        <w:t xml:space="preserve">3) Последовательность соединения Торговой точкой параметров в тестовой и производственной среде для:  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А)  Формирования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запроса проведения оплаты товара: </w:t>
      </w:r>
    </w:p>
    <w:p>
      <w:pPr>
        <w:pStyle w:val="style0"/>
      </w:pPr>
      <w:r>
        <w:rPr>
          <w:b/>
          <w:sz w:val="24"/>
          <w:szCs w:val="24"/>
          <w:lang w:val="en-US"/>
        </w:rPr>
        <w:t>AMOUNT,CURRENCY,ORDER,MERCH_NAME,MERCHANT,TERMINAL,EMAIL,TRTYPE,TIMESTAMP,NONCE,BACKREF</w:t>
      </w:r>
    </w:p>
    <w:p>
      <w:pPr>
        <w:pStyle w:val="style0"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 xml:space="preserve">Б)  Проверки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 ответа на запрос проведения оплаты товара:</w:t>
      </w:r>
    </w:p>
    <w:p>
      <w:pPr>
        <w:pStyle w:val="style0"/>
      </w:pPr>
      <w:r>
        <w:rPr>
          <w:b/>
          <w:sz w:val="24"/>
          <w:szCs w:val="24"/>
          <w:lang w:val="en-US"/>
        </w:rPr>
        <w:t>AMOUNT,CURRENCY,ORDER,MERCH_NAME,MERCHANT,TERMINAL,EMAIL,TRTYPE,TIMESTAMP,NONCE,BACKREF</w:t>
      </w:r>
      <w:r>
        <w:rPr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RESULT, RC, RCTEXT, AUTHCODE, RRN, INT_REF</w:t>
      </w:r>
    </w:p>
    <w:p>
      <w:pPr>
        <w:pStyle w:val="style0"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 xml:space="preserve">В)  Формирования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запроса проведения отмены:</w:t>
      </w:r>
    </w:p>
    <w:p>
      <w:pPr>
        <w:pStyle w:val="style0"/>
      </w:pPr>
      <w:r>
        <w:rPr>
          <w:b/>
          <w:sz w:val="24"/>
          <w:szCs w:val="24"/>
          <w:lang w:val="en-US"/>
        </w:rPr>
        <w:t>ORDER, AMOUNT, CURRENCY, ORG_AMOUNT, RRN, INT_REF, TRTYPE, TERMINAL, BACKREF, EMAIL, TIMESTAMP, NONCE</w:t>
      </w:r>
    </w:p>
    <w:p>
      <w:pPr>
        <w:pStyle w:val="style0"/>
      </w:pPr>
      <w:r>
        <w:rPr>
          <w:b/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 xml:space="preserve">Г)  Проверки </w:t>
      </w:r>
      <w:r>
        <w:rPr>
          <w:sz w:val="24"/>
          <w:szCs w:val="24"/>
          <w:lang w:val="en-US"/>
        </w:rPr>
        <w:t>HMAC</w:t>
      </w:r>
      <w:r>
        <w:rPr>
          <w:sz w:val="24"/>
          <w:szCs w:val="24"/>
        </w:rPr>
        <w:t xml:space="preserve"> ответа на запрос проведения отмены:</w:t>
      </w:r>
    </w:p>
    <w:p>
      <w:pPr>
        <w:pStyle w:val="style0"/>
      </w:pPr>
      <w:r>
        <w:rPr>
          <w:b/>
          <w:sz w:val="24"/>
          <w:szCs w:val="24"/>
          <w:lang w:val="en-US"/>
        </w:rPr>
        <w:t>ORDER, AMOUNT, CURRENCY, ORG_AMOUNT, RRN, INT_REF, TRTYPE, TERMINAL, BACKREF, EMAIL, TIMESTAMP, NONCE, RESULT, RC, RCTEXT</w:t>
      </w:r>
    </w:p>
    <w:p>
      <w:pPr>
        <w:pStyle w:val="style0"/>
      </w:pPr>
      <w:r>
        <w:rPr>
          <w:b/>
          <w:sz w:val="24"/>
          <w:szCs w:val="24"/>
          <w:lang w:val="en-US"/>
        </w:rPr>
      </w:r>
    </w:p>
    <w:p>
      <w:pPr>
        <w:pStyle w:val="style0"/>
      </w:pPr>
      <w:r>
        <w:rPr>
          <w:sz w:val="24"/>
          <w:szCs w:val="24"/>
          <w:lang w:val="en-US"/>
        </w:rPr>
      </w:r>
    </w:p>
    <w:p>
      <w:pPr>
        <w:pStyle w:val="style0"/>
      </w:pPr>
      <w:r>
        <w:rPr>
          <w:sz w:val="24"/>
          <w:szCs w:val="24"/>
          <w:lang w:val="en-US"/>
        </w:rPr>
      </w:r>
    </w:p>
    <w:p>
      <w:pPr>
        <w:pStyle w:val="style0"/>
        <w:jc w:val="both"/>
      </w:pPr>
      <w:r>
        <w:rPr>
          <w:sz w:val="24"/>
          <w:szCs w:val="24"/>
          <w:lang w:val="en-US"/>
        </w:rPr>
        <w:t xml:space="preserve">             </w:t>
      </w:r>
    </w:p>
    <w:p>
      <w:pPr>
        <w:pStyle w:val="style0"/>
        <w:spacing w:after="200" w:before="0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1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ru-RU"/>
    </w:rPr>
  </w:style>
  <w:style w:styleId="style1" w:type="paragraph">
    <w:name w:val="Заголовок 1"/>
    <w:basedOn w:val="style0"/>
    <w:next w:val="style22"/>
    <w:pPr>
      <w:keepNext/>
      <w:spacing w:after="60" w:before="240"/>
    </w:pPr>
    <w:rPr>
      <w:rFonts w:ascii="Cambria" w:eastAsia="Times New Roman" w:hAnsi="Cambria"/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>
      <w:rFonts w:ascii="Cambria" w:cs="Times New Roman" w:hAnsi="Cambria"/>
      <w:b/>
      <w:bCs/>
      <w:sz w:val="32"/>
      <w:szCs w:val="32"/>
      <w:lang w:eastAsia="en-US"/>
    </w:rPr>
  </w:style>
  <w:style w:styleId="style17" w:type="character">
    <w:name w:val="Интернет-ссылка"/>
    <w:basedOn w:val="style15"/>
    <w:next w:val="style17"/>
    <w:rPr>
      <w:rFonts w:cs="Times New Roman"/>
      <w:color w:val="0000FF"/>
      <w:u w:val="single"/>
      <w:lang w:bidi="ru-RU" w:eastAsia="ru-RU" w:val="ru-RU"/>
    </w:rPr>
  </w:style>
  <w:style w:styleId="style18" w:type="character">
    <w:name w:val="Текст выноски Знак"/>
    <w:basedOn w:val="style15"/>
    <w:next w:val="style18"/>
    <w:rPr>
      <w:rFonts w:ascii="Times New Roman" w:cs="Times New Roman" w:hAnsi="Times New Roman"/>
      <w:sz w:val="2"/>
      <w:lang w:eastAsia="en-US"/>
    </w:rPr>
  </w:style>
  <w:style w:styleId="style19" w:type="character">
    <w:name w:val="ListLabel 1"/>
    <w:next w:val="style19"/>
    <w:rPr>
      <w:rFonts w:cs="Times New Roman"/>
    </w:rPr>
  </w:style>
  <w:style w:styleId="style20" w:type="character">
    <w:name w:val="ListLabel 2"/>
    <w:next w:val="style20"/>
    <w:rPr>
      <w:rFonts w:eastAsia="Times New Roman"/>
      <w:b/>
    </w:rPr>
  </w:style>
  <w:style w:styleId="style21" w:type="paragraph">
    <w:name w:val="Заголовок"/>
    <w:basedOn w:val="style0"/>
    <w:next w:val="style2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</w:pPr>
    <w:rPr/>
  </w:style>
  <w:style w:styleId="style23" w:type="paragraph">
    <w:name w:val="Список"/>
    <w:basedOn w:val="style22"/>
    <w:next w:val="style23"/>
    <w:pPr/>
    <w:rPr>
      <w:rFonts w:cs="Lohit Hindi"/>
    </w:rPr>
  </w:style>
  <w:style w:styleId="style24" w:type="paragraph">
    <w:name w:val="Название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Balloon Text"/>
    <w:basedOn w:val="style0"/>
    <w:next w:val="style27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2012-06-20T05:29:00.00Z</dcterms:created>
  <dc:creator>valentin</dc:creator>
  <cp:lastModifiedBy>GrevtsovVE</cp:lastModifiedBy>
  <cp:lastPrinted>2012-01-26T21:29:00.00Z</cp:lastPrinted>
  <dcterms:modified xsi:type="dcterms:W3CDTF">2012-06-20T05:29:00.00Z</dcterms:modified>
  <cp:revision>2</cp:revision>
</cp:coreProperties>
</file>