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EchoInsight Architecture Diagram Pack</w:t>
      </w:r>
    </w:p>
    <w:p>
      <w:pPr>
        <w:pStyle w:val="Heading1"/>
      </w:pPr>
      <w:r>
        <w:t>D0 Master Poster</w:t>
      </w:r>
    </w:p>
    <w:p>
      <w:r>
        <w:t>System overview covering deployment, observability, and data flow.</w:t>
      </w:r>
    </w:p>
    <w:p>
      <w:r>
        <w:drawing>
          <wp:inline xmlns:a="http://schemas.openxmlformats.org/drawingml/2006/main" xmlns:pic="http://schemas.openxmlformats.org/drawingml/2006/picture">
            <wp:extent cx="5486400" cy="34036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0_master_pos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D1 System Context</w:t>
      </w:r>
    </w:p>
    <w:p>
      <w:r>
        <w:t>System boundaries, users, and external dependencies.</w:t>
      </w:r>
    </w:p>
    <w:p>
      <w:r>
        <w:drawing>
          <wp:inline xmlns:a="http://schemas.openxmlformats.org/drawingml/2006/main" xmlns:pic="http://schemas.openxmlformats.org/drawingml/2006/picture">
            <wp:extent cx="5486400" cy="3307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system_contex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7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D2 Runtime Containers</w:t>
      </w:r>
    </w:p>
    <w:p>
      <w:r>
        <w:t>Runtime processes, files, and stores.</w:t>
      </w:r>
    </w:p>
    <w:p>
      <w:r>
        <w:drawing>
          <wp:inline xmlns:a="http://schemas.openxmlformats.org/drawingml/2006/main" xmlns:pic="http://schemas.openxmlformats.org/drawingml/2006/picture">
            <wp:extent cx="5486400" cy="32366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runtime_contain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D3 Backend Components</w:t>
      </w:r>
    </w:p>
    <w:p>
      <w:r>
        <w:t>Python packages and import directions.</w:t>
      </w:r>
    </w:p>
    <w:p>
      <w:r>
        <w:drawing>
          <wp:inline xmlns:a="http://schemas.openxmlformats.org/drawingml/2006/main" xmlns:pic="http://schemas.openxmlformats.org/drawingml/2006/picture">
            <wp:extent cx="5486400" cy="32366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backend_componen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D4 Analysis Pipeline</w:t>
      </w:r>
    </w:p>
    <w:p>
      <w:r>
        <w:t>Incremental and final analysis data flows.</w:t>
      </w:r>
    </w:p>
    <w:p>
      <w:r>
        <w:drawing>
          <wp:inline xmlns:a="http://schemas.openxmlformats.org/drawingml/2006/main" xmlns:pic="http://schemas.openxmlformats.org/drawingml/2006/picture">
            <wp:extent cx="5486400" cy="31930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_analysis_pipel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3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D5 State Machine</w:t>
      </w:r>
    </w:p>
    <w:p>
      <w:r>
        <w:t>Conversation lifecycle states and transitions.</w:t>
      </w:r>
    </w:p>
    <w:p>
      <w:r>
        <w:drawing>
          <wp:inline xmlns:a="http://schemas.openxmlformats.org/drawingml/2006/main" xmlns:pic="http://schemas.openxmlformats.org/drawingml/2006/picture">
            <wp:extent cx="5486400" cy="33110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_state_mach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1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D6 Commitment Ledger</w:t>
      </w:r>
    </w:p>
    <w:p>
      <w:r>
        <w:t>Commitment status transitions.</w:t>
      </w:r>
    </w:p>
    <w:p>
      <w:r>
        <w:drawing>
          <wp:inline xmlns:a="http://schemas.openxmlformats.org/drawingml/2006/main" xmlns:pic="http://schemas.openxmlformats.org/drawingml/2006/picture">
            <wp:extent cx="5486400" cy="33110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6_commitment_ledg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1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D7 QA Scoring Flow</w:t>
      </w:r>
    </w:p>
    <w:p>
      <w:r>
        <w:t>QA pipeline, selective verification, and scoring formula.</w:t>
      </w:r>
    </w:p>
    <w:p>
      <w:r>
        <w:drawing>
          <wp:inline xmlns:a="http://schemas.openxmlformats.org/drawingml/2006/main" xmlns:pic="http://schemas.openxmlformats.org/drawingml/2006/picture">
            <wp:extent cx="5486400" cy="32060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7_qa_scor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6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D8 Sequence Diagrams</w:t>
      </w:r>
    </w:p>
    <w:p>
      <w:r>
        <w:t>Operation order for turn append and final analysis.</w:t>
      </w:r>
    </w:p>
    <w:p>
      <w:r>
        <w:drawing>
          <wp:inline xmlns:a="http://schemas.openxmlformats.org/drawingml/2006/main" xmlns:pic="http://schemas.openxmlformats.org/drawingml/2006/picture">
            <wp:extent cx="5486400" cy="319048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8_sequence_diagram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04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D9 Data Model</w:t>
      </w:r>
    </w:p>
    <w:p>
      <w:r>
        <w:t>ER diagram for the PostgreSQL schema.</w:t>
      </w:r>
    </w:p>
    <w:p>
      <w:r>
        <w:drawing>
          <wp:inline xmlns:a="http://schemas.openxmlformats.org/drawingml/2006/main" xmlns:pic="http://schemas.openxmlformats.org/drawingml/2006/picture">
            <wp:extent cx="5486400" cy="34800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9_data_mod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0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D10 Security Boundaries</w:t>
      </w:r>
    </w:p>
    <w:p>
      <w:r>
        <w:t>PII redaction and access scopes.</w:t>
      </w:r>
    </w:p>
    <w:p>
      <w:r>
        <w:drawing>
          <wp:inline xmlns:a="http://schemas.openxmlformats.org/drawingml/2006/main" xmlns:pic="http://schemas.openxmlformats.org/drawingml/2006/picture">
            <wp:extent cx="5486400" cy="323668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0_secur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D11 Deployment Topology</w:t>
      </w:r>
    </w:p>
    <w:p>
      <w:r>
        <w:t>Vercel, Render, and cold start behavior.</w:t>
      </w:r>
    </w:p>
    <w:p>
      <w:r>
        <w:drawing>
          <wp:inline xmlns:a="http://schemas.openxmlformats.org/drawingml/2006/main" xmlns:pic="http://schemas.openxmlformats.org/drawingml/2006/picture">
            <wp:extent cx="5486400" cy="32366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1_deploym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D12 Observability &amp; CI</w:t>
      </w:r>
    </w:p>
    <w:p>
      <w:r>
        <w:t>Metrics, health endpoints, and eval pipeline.</w:t>
      </w:r>
    </w:p>
    <w:p>
      <w:r>
        <w:drawing>
          <wp:inline xmlns:a="http://schemas.openxmlformats.org/drawingml/2006/main" xmlns:pic="http://schemas.openxmlformats.org/drawingml/2006/picture">
            <wp:extent cx="5486400" cy="323668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2_observab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D13 Frontend Architecture</w:t>
      </w:r>
    </w:p>
    <w:p>
      <w:r>
        <w:t>React SPA structure and component routing.</w:t>
      </w:r>
    </w:p>
    <w:p>
      <w:r>
        <w:drawing>
          <wp:inline xmlns:a="http://schemas.openxmlformats.org/drawingml/2006/main" xmlns:pic="http://schemas.openxmlformats.org/drawingml/2006/picture">
            <wp:extent cx="5486400" cy="3251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3_fronten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D14 Optional Layers</w:t>
      </w:r>
    </w:p>
    <w:p>
      <w:r>
        <w:t>Action layer and assistant integrations.</w:t>
      </w:r>
    </w:p>
    <w:p>
      <w:r>
        <w:drawing>
          <wp:inline xmlns:a="http://schemas.openxmlformats.org/drawingml/2006/main" xmlns:pic="http://schemas.openxmlformats.org/drawingml/2006/picture">
            <wp:extent cx="5486400" cy="323668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4_optional_lay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D15 Scale-Out Target</w:t>
      </w:r>
    </w:p>
    <w:p>
      <w:r>
        <w:t>Future production scale-out design.</w:t>
      </w:r>
    </w:p>
    <w:p>
      <w:r>
        <w:drawing>
          <wp:inline xmlns:a="http://schemas.openxmlformats.org/drawingml/2006/main" xmlns:pic="http://schemas.openxmlformats.org/drawingml/2006/picture">
            <wp:extent cx="5486400" cy="31450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5_scale_ou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