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921993" w14:textId="61A8EB07" w:rsidR="00607276" w:rsidRPr="001904D5" w:rsidRDefault="00F75604" w:rsidP="00607276">
      <w:pPr>
        <w:spacing w:after="0" w:line="240" w:lineRule="auto"/>
        <w:jc w:val="center"/>
        <w:rPr>
          <w:rFonts w:cstheme="minorHAnsi"/>
          <w:b/>
          <w:sz w:val="28"/>
          <w:szCs w:val="28"/>
        </w:rPr>
      </w:pPr>
      <w:bookmarkStart w:id="0" w:name="_GoBack"/>
      <w:bookmarkEnd w:id="0"/>
      <w:r>
        <w:rPr>
          <w:rFonts w:cstheme="minorHAnsi"/>
          <w:b/>
          <w:sz w:val="28"/>
          <w:szCs w:val="28"/>
        </w:rPr>
        <w:t xml:space="preserve">Data Inputs </w:t>
      </w:r>
      <w:r w:rsidR="00607276" w:rsidRPr="001904D5">
        <w:rPr>
          <w:rFonts w:cstheme="minorHAnsi"/>
          <w:b/>
          <w:sz w:val="28"/>
          <w:szCs w:val="28"/>
        </w:rPr>
        <w:t>Supplement</w:t>
      </w:r>
    </w:p>
    <w:p w14:paraId="3EEC0228" w14:textId="77777777" w:rsidR="00607276" w:rsidRPr="001904D5" w:rsidRDefault="00607276" w:rsidP="00607276">
      <w:pPr>
        <w:spacing w:after="0" w:line="240" w:lineRule="auto"/>
        <w:jc w:val="center"/>
        <w:rPr>
          <w:rFonts w:cstheme="minorHAnsi"/>
          <w:b/>
          <w:sz w:val="28"/>
          <w:szCs w:val="28"/>
        </w:rPr>
      </w:pPr>
      <w:r w:rsidRPr="001904D5">
        <w:rPr>
          <w:rFonts w:cstheme="minorHAnsi"/>
          <w:b/>
          <w:sz w:val="28"/>
          <w:szCs w:val="28"/>
        </w:rPr>
        <w:t xml:space="preserve">Estimates of the Prevalence and Incidence of </w:t>
      </w:r>
    </w:p>
    <w:p w14:paraId="7F1B85A1" w14:textId="77777777" w:rsidR="00607276" w:rsidRPr="001904D5" w:rsidRDefault="00607276" w:rsidP="00607276">
      <w:pPr>
        <w:spacing w:after="0" w:line="240" w:lineRule="auto"/>
        <w:jc w:val="center"/>
        <w:rPr>
          <w:rFonts w:cstheme="minorHAnsi"/>
          <w:b/>
          <w:sz w:val="28"/>
          <w:szCs w:val="28"/>
        </w:rPr>
      </w:pPr>
      <w:r w:rsidRPr="001904D5">
        <w:rPr>
          <w:rFonts w:cstheme="minorHAnsi"/>
          <w:b/>
          <w:sz w:val="28"/>
          <w:szCs w:val="28"/>
        </w:rPr>
        <w:t>Chlamydia and Gonorrhea Among US Men and Women, 2018</w:t>
      </w:r>
    </w:p>
    <w:p w14:paraId="5DE26E2B" w14:textId="77777777" w:rsidR="00607276" w:rsidRPr="001904D5" w:rsidRDefault="00607276" w:rsidP="00607276">
      <w:pPr>
        <w:spacing w:after="0" w:line="480" w:lineRule="auto"/>
        <w:rPr>
          <w:rFonts w:cstheme="minorHAnsi"/>
          <w:b/>
          <w:color w:val="000000"/>
          <w:sz w:val="24"/>
          <w:szCs w:val="24"/>
        </w:rPr>
      </w:pPr>
    </w:p>
    <w:p w14:paraId="76452DD4" w14:textId="483458D4" w:rsidR="00607276" w:rsidRPr="001904D5" w:rsidRDefault="00607276" w:rsidP="00171F75">
      <w:pPr>
        <w:jc w:val="center"/>
        <w:rPr>
          <w:rFonts w:cstheme="minorHAnsi"/>
          <w:b/>
          <w:bCs/>
          <w:sz w:val="28"/>
          <w:szCs w:val="28"/>
          <w:u w:val="single"/>
        </w:rPr>
      </w:pPr>
      <w:r w:rsidRPr="001904D5">
        <w:rPr>
          <w:rFonts w:cstheme="minorHAnsi"/>
          <w:b/>
          <w:bCs/>
          <w:sz w:val="28"/>
          <w:u w:val="single"/>
        </w:rPr>
        <w:t xml:space="preserve">Description of the </w:t>
      </w:r>
      <w:r w:rsidRPr="001904D5">
        <w:rPr>
          <w:rFonts w:cstheme="minorHAnsi"/>
          <w:b/>
          <w:bCs/>
          <w:sz w:val="28"/>
          <w:szCs w:val="28"/>
          <w:u w:val="single"/>
        </w:rPr>
        <w:t>Parameters and Associated Inputs Included in Chlamydia and Gonorrhea Prevalence and Incidence Models</w:t>
      </w:r>
    </w:p>
    <w:p w14:paraId="46CDF7FE" w14:textId="77777777" w:rsidR="00AE2D9E" w:rsidRDefault="00AE2D9E" w:rsidP="00607276">
      <w:pPr>
        <w:spacing w:after="0" w:line="480" w:lineRule="auto"/>
        <w:rPr>
          <w:rFonts w:cstheme="minorHAnsi"/>
          <w:b/>
          <w:i/>
          <w:sz w:val="24"/>
          <w:szCs w:val="24"/>
        </w:rPr>
      </w:pPr>
    </w:p>
    <w:p w14:paraId="56FC1DEB" w14:textId="64E52BCB" w:rsidR="00607276" w:rsidRPr="001904D5" w:rsidRDefault="00607276" w:rsidP="00607276">
      <w:pPr>
        <w:spacing w:after="0" w:line="480" w:lineRule="auto"/>
        <w:rPr>
          <w:rFonts w:cstheme="minorHAnsi"/>
          <w:b/>
          <w:i/>
          <w:sz w:val="24"/>
          <w:szCs w:val="24"/>
        </w:rPr>
      </w:pPr>
      <w:r w:rsidRPr="001904D5">
        <w:rPr>
          <w:rFonts w:cstheme="minorHAnsi"/>
          <w:b/>
          <w:i/>
          <w:sz w:val="24"/>
          <w:szCs w:val="24"/>
        </w:rPr>
        <w:t>Population Size (N)</w:t>
      </w:r>
    </w:p>
    <w:p w14:paraId="21149C9C" w14:textId="4B147583" w:rsidR="00607276" w:rsidRPr="001904D5" w:rsidRDefault="00607276" w:rsidP="00607276">
      <w:pPr>
        <w:spacing w:after="0" w:line="480" w:lineRule="auto"/>
        <w:ind w:firstLine="360"/>
        <w:rPr>
          <w:rFonts w:cstheme="minorHAnsi"/>
          <w:sz w:val="24"/>
          <w:szCs w:val="24"/>
        </w:rPr>
      </w:pPr>
      <w:r w:rsidRPr="001904D5">
        <w:rPr>
          <w:rFonts w:cstheme="minorHAnsi"/>
          <w:sz w:val="24"/>
          <w:szCs w:val="24"/>
        </w:rPr>
        <w:t>For the population size estimates, we used data from the United States (US) Census Bureau’s American Community Survey (ACS) representing the full resident population of the US in 2018.</w:t>
      </w:r>
      <w:r w:rsidR="008547FE" w:rsidRPr="001904D5">
        <w:rPr>
          <w:rFonts w:cstheme="minorHAnsi"/>
          <w:sz w:val="24"/>
          <w:szCs w:val="24"/>
        </w:rPr>
        <w:t xml:space="preserve"> (</w:t>
      </w:r>
      <w:r w:rsidR="00ED69B8">
        <w:rPr>
          <w:rFonts w:cstheme="minorHAnsi"/>
          <w:sz w:val="24"/>
          <w:szCs w:val="24"/>
        </w:rPr>
        <w:t>1</w:t>
      </w:r>
      <w:r w:rsidR="008547FE" w:rsidRPr="001904D5">
        <w:rPr>
          <w:rFonts w:cstheme="minorHAnsi"/>
          <w:sz w:val="24"/>
          <w:szCs w:val="24"/>
        </w:rPr>
        <w:t>)</w:t>
      </w:r>
      <w:r w:rsidRPr="001904D5">
        <w:rPr>
          <w:rFonts w:cstheme="minorHAnsi"/>
          <w:sz w:val="24"/>
          <w:szCs w:val="24"/>
        </w:rPr>
        <w:t xml:space="preserve"> Based on these data, there were 22.1 and 21.0 million male and female US residents aged 15–24 years and 33.8 and 33.2 million male and female US residents aged 25–39 years in 2018. The use of these population data incorporated two assumptions. First, we assumed the data are normally distributed and that there was no variability. Second, we assumed that the population size was constant and stable throughout the year and that these est</w:t>
      </w:r>
      <w:r w:rsidR="00E6481F" w:rsidRPr="001904D5">
        <w:rPr>
          <w:rFonts w:cstheme="minorHAnsi"/>
          <w:sz w:val="24"/>
          <w:szCs w:val="24"/>
        </w:rPr>
        <w:t>i</w:t>
      </w:r>
      <w:r w:rsidRPr="001904D5">
        <w:rPr>
          <w:rFonts w:cstheme="minorHAnsi"/>
          <w:sz w:val="24"/>
          <w:szCs w:val="24"/>
        </w:rPr>
        <w:t>mates reflected the population size at the midpoint of 2018.</w:t>
      </w:r>
    </w:p>
    <w:p w14:paraId="08545124" w14:textId="77777777" w:rsidR="00E6481F" w:rsidRPr="001904D5" w:rsidRDefault="00E6481F" w:rsidP="00607276">
      <w:pPr>
        <w:spacing w:after="0" w:line="480" w:lineRule="auto"/>
        <w:ind w:firstLine="360"/>
        <w:rPr>
          <w:rFonts w:cstheme="minorHAnsi"/>
          <w:sz w:val="24"/>
          <w:szCs w:val="24"/>
        </w:rPr>
      </w:pPr>
    </w:p>
    <w:p w14:paraId="2EC8D727" w14:textId="77777777" w:rsidR="00607276" w:rsidRPr="001904D5" w:rsidRDefault="00607276" w:rsidP="00607276">
      <w:pPr>
        <w:spacing w:after="0" w:line="480" w:lineRule="auto"/>
        <w:rPr>
          <w:rFonts w:cstheme="minorHAnsi"/>
          <w:b/>
          <w:i/>
          <w:sz w:val="24"/>
          <w:szCs w:val="24"/>
        </w:rPr>
      </w:pPr>
      <w:r w:rsidRPr="001904D5">
        <w:rPr>
          <w:rFonts w:cstheme="minorHAnsi"/>
          <w:b/>
          <w:i/>
          <w:sz w:val="24"/>
          <w:szCs w:val="24"/>
        </w:rPr>
        <w:t>Number of Case Reports (</w:t>
      </w:r>
      <w:r w:rsidRPr="001904D5">
        <w:rPr>
          <w:rFonts w:cstheme="minorHAnsi"/>
          <w:b/>
          <w:i/>
          <w:sz w:val="28"/>
          <w:szCs w:val="28"/>
        </w:rPr>
        <w:t>κ</w:t>
      </w:r>
      <w:r w:rsidRPr="001904D5">
        <w:rPr>
          <w:rFonts w:cstheme="minorHAnsi"/>
          <w:b/>
          <w:i/>
          <w:sz w:val="24"/>
          <w:szCs w:val="24"/>
        </w:rPr>
        <w:t>)</w:t>
      </w:r>
    </w:p>
    <w:p w14:paraId="69F2BBC5" w14:textId="230C68BB" w:rsidR="00607276" w:rsidRPr="001904D5" w:rsidRDefault="00607276" w:rsidP="00607276">
      <w:pPr>
        <w:spacing w:after="0" w:line="480" w:lineRule="auto"/>
        <w:ind w:firstLine="360"/>
        <w:rPr>
          <w:rFonts w:cstheme="minorHAnsi"/>
          <w:sz w:val="24"/>
          <w:szCs w:val="24"/>
        </w:rPr>
      </w:pPr>
      <w:r w:rsidRPr="001904D5">
        <w:rPr>
          <w:rFonts w:cstheme="minorHAnsi"/>
          <w:sz w:val="24"/>
          <w:szCs w:val="24"/>
        </w:rPr>
        <w:t>Based on national sexually transmitted infection (STI) case report data reported to the Centers for Disease Control and Prevention (CDC) in 2018, there were 306,110 and 779,367 chlamydia cases reported in men and women aged 15–24 years, respectively.</w:t>
      </w:r>
      <w:r w:rsidR="00E6481F" w:rsidRPr="001904D5">
        <w:rPr>
          <w:rFonts w:cstheme="minorHAnsi"/>
          <w:sz w:val="24"/>
          <w:szCs w:val="24"/>
        </w:rPr>
        <w:t xml:space="preserve"> </w:t>
      </w:r>
      <w:r w:rsidR="008547FE" w:rsidRPr="001904D5">
        <w:rPr>
          <w:rFonts w:cstheme="minorHAnsi"/>
          <w:sz w:val="24"/>
          <w:szCs w:val="24"/>
        </w:rPr>
        <w:t>(</w:t>
      </w:r>
      <w:r w:rsidR="00F720A3">
        <w:rPr>
          <w:rFonts w:cstheme="minorHAnsi"/>
          <w:sz w:val="24"/>
          <w:szCs w:val="24"/>
        </w:rPr>
        <w:t>2</w:t>
      </w:r>
      <w:r w:rsidR="008547FE" w:rsidRPr="001904D5">
        <w:rPr>
          <w:rFonts w:cstheme="minorHAnsi"/>
          <w:sz w:val="24"/>
          <w:szCs w:val="24"/>
        </w:rPr>
        <w:t>)</w:t>
      </w:r>
      <w:r w:rsidRPr="001904D5">
        <w:rPr>
          <w:rFonts w:cstheme="minorHAnsi"/>
          <w:sz w:val="24"/>
          <w:szCs w:val="24"/>
        </w:rPr>
        <w:t xml:space="preserve"> Among men and women aged 25–39 years, there were 246,601 and 318,246 cases reported, respectively. Likewise, there were 116,427 and 132,291 gonorrhea cases reported in men and women aged </w:t>
      </w:r>
      <w:r w:rsidRPr="001904D5">
        <w:rPr>
          <w:rFonts w:cstheme="minorHAnsi"/>
          <w:sz w:val="24"/>
          <w:szCs w:val="24"/>
        </w:rPr>
        <w:lastRenderedPageBreak/>
        <w:t xml:space="preserve">15–24 years, respectively. Among men and women aged 25–39 years, there were 167,134 and 90,786 gonorrhea cases reported, respectively.  </w:t>
      </w:r>
    </w:p>
    <w:p w14:paraId="201A7525" w14:textId="49E222F6" w:rsidR="00607276" w:rsidRPr="001904D5" w:rsidRDefault="00607276" w:rsidP="00607276">
      <w:pPr>
        <w:spacing w:after="0" w:line="480" w:lineRule="auto"/>
        <w:ind w:firstLine="360"/>
        <w:rPr>
          <w:rFonts w:cstheme="minorHAnsi"/>
          <w:sz w:val="24"/>
          <w:szCs w:val="24"/>
        </w:rPr>
      </w:pPr>
      <w:r w:rsidRPr="001904D5">
        <w:rPr>
          <w:rFonts w:cstheme="minorHAnsi"/>
          <w:sz w:val="24"/>
          <w:szCs w:val="24"/>
        </w:rPr>
        <w:t>Various factors should be considered when interpreting chlamydia and gonorrhea case report data. These data reflect only those infections diagnosed and reported to the CDC. Also, g</w:t>
      </w:r>
      <w:r w:rsidRPr="001904D5">
        <w:rPr>
          <w:rFonts w:cstheme="minorHAnsi"/>
          <w:color w:val="000000"/>
          <w:sz w:val="24"/>
          <w:szCs w:val="24"/>
        </w:rPr>
        <w:t xml:space="preserve">iven the current inability of case report data to adequately capture all anatomic sites of infection of a reported case, we assumed </w:t>
      </w:r>
      <w:r w:rsidRPr="001904D5">
        <w:rPr>
          <w:rFonts w:cstheme="minorHAnsi"/>
          <w:sz w:val="24"/>
          <w:szCs w:val="24"/>
        </w:rPr>
        <w:t xml:space="preserve">they represented urogenital infections only and excluded </w:t>
      </w:r>
      <w:r w:rsidRPr="001904D5">
        <w:rPr>
          <w:rFonts w:cstheme="minorHAnsi"/>
          <w:color w:val="000000"/>
          <w:sz w:val="24"/>
          <w:szCs w:val="24"/>
        </w:rPr>
        <w:t xml:space="preserve">infections at extragenital sites, such as the rectum and oropharynx. </w:t>
      </w:r>
      <w:r w:rsidRPr="001904D5">
        <w:rPr>
          <w:sz w:val="24"/>
          <w:szCs w:val="24"/>
        </w:rPr>
        <w:t>As a result, the full burden of chlamydia</w:t>
      </w:r>
      <w:r w:rsidR="00841CD4" w:rsidRPr="001904D5">
        <w:rPr>
          <w:sz w:val="24"/>
          <w:szCs w:val="24"/>
        </w:rPr>
        <w:t xml:space="preserve"> and gonorrhea</w:t>
      </w:r>
      <w:r w:rsidRPr="001904D5">
        <w:rPr>
          <w:sz w:val="24"/>
          <w:szCs w:val="24"/>
        </w:rPr>
        <w:t xml:space="preserve"> is underestimated due to the exclusion of infections at these anatomic sites.</w:t>
      </w:r>
      <w:r w:rsidRPr="001904D5">
        <w:rPr>
          <w:rFonts w:cstheme="minorHAnsi"/>
          <w:color w:val="000000"/>
          <w:sz w:val="24"/>
          <w:szCs w:val="24"/>
        </w:rPr>
        <w:t xml:space="preserve"> In addition, as these data represent case reports received, no uncertainty was assumed. </w:t>
      </w:r>
    </w:p>
    <w:p w14:paraId="322ABE01" w14:textId="130A263B" w:rsidR="00607276" w:rsidRPr="001904D5" w:rsidRDefault="00607276" w:rsidP="00607276">
      <w:pPr>
        <w:rPr>
          <w:rFonts w:cstheme="minorHAnsi"/>
          <w:b/>
          <w:i/>
          <w:sz w:val="24"/>
          <w:szCs w:val="24"/>
        </w:rPr>
      </w:pPr>
    </w:p>
    <w:p w14:paraId="2CC7FC77" w14:textId="77777777" w:rsidR="00607276" w:rsidRPr="001904D5" w:rsidRDefault="00607276" w:rsidP="00607276">
      <w:pPr>
        <w:spacing w:after="0" w:line="480" w:lineRule="auto"/>
        <w:rPr>
          <w:rFonts w:cstheme="minorHAnsi"/>
          <w:b/>
          <w:i/>
          <w:sz w:val="24"/>
          <w:szCs w:val="24"/>
        </w:rPr>
      </w:pPr>
      <w:r w:rsidRPr="001904D5">
        <w:rPr>
          <w:rFonts w:cstheme="minorHAnsi"/>
          <w:b/>
          <w:i/>
          <w:sz w:val="24"/>
          <w:szCs w:val="24"/>
        </w:rPr>
        <w:t>Case Reporting Fraction (</w:t>
      </w:r>
      <w:r w:rsidRPr="001904D5">
        <w:rPr>
          <w:rFonts w:cstheme="minorHAnsi"/>
          <w:b/>
          <w:i/>
          <w:sz w:val="28"/>
          <w:szCs w:val="28"/>
        </w:rPr>
        <w:t>ρ</w:t>
      </w:r>
      <w:r w:rsidRPr="001904D5">
        <w:rPr>
          <w:rFonts w:cstheme="minorHAnsi"/>
          <w:b/>
          <w:i/>
          <w:sz w:val="24"/>
          <w:szCs w:val="24"/>
        </w:rPr>
        <w:t>)</w:t>
      </w:r>
    </w:p>
    <w:p w14:paraId="0F2D1B61" w14:textId="315AB0DE" w:rsidR="00607276" w:rsidRPr="001904D5" w:rsidRDefault="00516983" w:rsidP="00607276">
      <w:pPr>
        <w:spacing w:after="0" w:line="480" w:lineRule="auto"/>
        <w:ind w:firstLine="360"/>
        <w:rPr>
          <w:rFonts w:cstheme="minorHAnsi"/>
          <w:sz w:val="24"/>
          <w:szCs w:val="24"/>
        </w:rPr>
      </w:pPr>
      <w:r w:rsidRPr="001904D5">
        <w:rPr>
          <w:rFonts w:cstheme="minorHAnsi"/>
          <w:sz w:val="24"/>
          <w:szCs w:val="24"/>
        </w:rPr>
        <w:t xml:space="preserve">The case reporting fraction represents the proportion of all </w:t>
      </w:r>
      <w:r w:rsidR="005925A8" w:rsidRPr="001904D5">
        <w:rPr>
          <w:rFonts w:cstheme="minorHAnsi"/>
          <w:sz w:val="24"/>
          <w:szCs w:val="24"/>
        </w:rPr>
        <w:t xml:space="preserve">diagnosed </w:t>
      </w:r>
      <w:r w:rsidRPr="001904D5">
        <w:rPr>
          <w:rFonts w:cstheme="minorHAnsi"/>
          <w:sz w:val="24"/>
          <w:szCs w:val="24"/>
        </w:rPr>
        <w:t xml:space="preserve">cases that are reported to CDC. </w:t>
      </w:r>
      <w:r w:rsidR="00607276" w:rsidRPr="001904D5">
        <w:rPr>
          <w:rFonts w:cstheme="minorHAnsi"/>
          <w:sz w:val="24"/>
          <w:szCs w:val="24"/>
        </w:rPr>
        <w:t xml:space="preserve">There is no system in place to measure case reporting completeness and no data were available to inform our estimates. Because chlamydia and gonorrhea are reportable conditions in all states and the District of Columbia (i.e., all positive laboratory results are sent to public health authorities), we felt it reasonable to assume reporting was high throughout the study period. Reporting has also improved in recent years as electronic laboratory reporting has expanded and STI surveillance systems have become increasingly automated. We acknowledged that reporting is less than 100% due to transmission and/or data entry errors, as some laboratories continue to report via paper and fax, but we assumed that the reporting fraction was likely near 100% due to the issues described above. We also assumed that the case </w:t>
      </w:r>
      <w:r w:rsidR="00607276" w:rsidRPr="001904D5">
        <w:rPr>
          <w:rFonts w:cstheme="minorHAnsi"/>
          <w:sz w:val="24"/>
          <w:szCs w:val="24"/>
        </w:rPr>
        <w:lastRenderedPageBreak/>
        <w:t>reporting fraction was uniformly distributed and did not vary by sex, age group, or disease. Therefore, we assumed a case reporting fraction of 95.0% (25</w:t>
      </w:r>
      <w:r w:rsidR="00607276" w:rsidRPr="001904D5">
        <w:rPr>
          <w:rFonts w:cstheme="minorHAnsi"/>
          <w:sz w:val="24"/>
          <w:szCs w:val="24"/>
          <w:vertAlign w:val="superscript"/>
        </w:rPr>
        <w:t>th</w:t>
      </w:r>
      <w:r w:rsidR="00607276" w:rsidRPr="001904D5">
        <w:rPr>
          <w:rFonts w:cstheme="minorHAnsi"/>
          <w:sz w:val="24"/>
          <w:szCs w:val="24"/>
        </w:rPr>
        <w:t xml:space="preserve"> percentile [Q</w:t>
      </w:r>
      <w:proofErr w:type="gramStart"/>
      <w:r w:rsidR="00607276" w:rsidRPr="001904D5">
        <w:rPr>
          <w:rFonts w:cstheme="minorHAnsi"/>
          <w:sz w:val="24"/>
          <w:szCs w:val="24"/>
        </w:rPr>
        <w:t>1]=</w:t>
      </w:r>
      <w:proofErr w:type="gramEnd"/>
      <w:r w:rsidR="00607276" w:rsidRPr="001904D5">
        <w:rPr>
          <w:rFonts w:cstheme="minorHAnsi"/>
          <w:sz w:val="24"/>
          <w:szCs w:val="24"/>
        </w:rPr>
        <w:t>93.7%, 75</w:t>
      </w:r>
      <w:r w:rsidR="00607276" w:rsidRPr="001904D5">
        <w:rPr>
          <w:rFonts w:cstheme="minorHAnsi"/>
          <w:sz w:val="24"/>
          <w:szCs w:val="24"/>
          <w:vertAlign w:val="superscript"/>
        </w:rPr>
        <w:t>th</w:t>
      </w:r>
      <w:r w:rsidR="00607276" w:rsidRPr="001904D5">
        <w:rPr>
          <w:rFonts w:cstheme="minorHAnsi"/>
          <w:sz w:val="24"/>
          <w:szCs w:val="24"/>
        </w:rPr>
        <w:t xml:space="preserve"> percentile [Q3]=96.2%) for both chlamydia and gonorrhea. These estimates are consistent </w:t>
      </w:r>
      <w:r w:rsidR="00607276" w:rsidRPr="001904D5">
        <w:rPr>
          <w:sz w:val="24"/>
          <w:szCs w:val="24"/>
        </w:rPr>
        <w:t>with the predominant assumptions being made in the literature.</w:t>
      </w:r>
      <w:r w:rsidR="008547FE" w:rsidRPr="001904D5">
        <w:rPr>
          <w:sz w:val="24"/>
          <w:szCs w:val="24"/>
        </w:rPr>
        <w:t xml:space="preserve"> (</w:t>
      </w:r>
      <w:r w:rsidR="00F720A3">
        <w:rPr>
          <w:sz w:val="24"/>
          <w:szCs w:val="24"/>
        </w:rPr>
        <w:t>3</w:t>
      </w:r>
      <w:r w:rsidR="008547FE" w:rsidRPr="001904D5">
        <w:rPr>
          <w:sz w:val="24"/>
          <w:szCs w:val="24"/>
        </w:rPr>
        <w:t>)</w:t>
      </w:r>
      <w:r w:rsidR="00E76C51" w:rsidRPr="001904D5">
        <w:rPr>
          <w:sz w:val="24"/>
          <w:szCs w:val="24"/>
        </w:rPr>
        <w:t xml:space="preserve"> </w:t>
      </w:r>
    </w:p>
    <w:p w14:paraId="508009EA" w14:textId="77777777" w:rsidR="00607276" w:rsidRPr="001904D5" w:rsidRDefault="00607276" w:rsidP="00607276">
      <w:pPr>
        <w:spacing w:after="0" w:line="480" w:lineRule="auto"/>
        <w:rPr>
          <w:rFonts w:cstheme="minorHAnsi"/>
          <w:b/>
          <w:i/>
          <w:sz w:val="24"/>
          <w:szCs w:val="24"/>
          <w:u w:val="single"/>
        </w:rPr>
      </w:pPr>
    </w:p>
    <w:p w14:paraId="5B094041" w14:textId="77777777" w:rsidR="00607276" w:rsidRPr="001904D5" w:rsidRDefault="00607276" w:rsidP="00607276">
      <w:pPr>
        <w:spacing w:after="0" w:line="480" w:lineRule="auto"/>
        <w:rPr>
          <w:rFonts w:cstheme="minorHAnsi"/>
          <w:b/>
          <w:i/>
          <w:sz w:val="24"/>
          <w:szCs w:val="24"/>
        </w:rPr>
      </w:pPr>
      <w:r w:rsidRPr="001904D5">
        <w:rPr>
          <w:rFonts w:cstheme="minorHAnsi"/>
          <w:b/>
          <w:i/>
          <w:sz w:val="24"/>
          <w:szCs w:val="24"/>
        </w:rPr>
        <w:t>Proportion of Cases that are Asymptomatic (</w:t>
      </w:r>
      <w:r w:rsidRPr="001904D5">
        <w:rPr>
          <w:rFonts w:ascii="Arial" w:hAnsi="Arial" w:cs="Arial"/>
          <w:b/>
          <w:i/>
          <w:sz w:val="24"/>
          <w:szCs w:val="24"/>
        </w:rPr>
        <w:t>β</w:t>
      </w:r>
      <w:r w:rsidRPr="001904D5">
        <w:rPr>
          <w:rFonts w:cstheme="minorHAnsi"/>
          <w:b/>
          <w:i/>
          <w:sz w:val="24"/>
          <w:szCs w:val="24"/>
        </w:rPr>
        <w:t>)</w:t>
      </w:r>
    </w:p>
    <w:p w14:paraId="0CF2ED2F" w14:textId="6CE47AF4" w:rsidR="00607276" w:rsidRPr="001904D5" w:rsidRDefault="00607276" w:rsidP="00607276">
      <w:pPr>
        <w:spacing w:after="0" w:line="480" w:lineRule="auto"/>
        <w:ind w:firstLine="360"/>
        <w:rPr>
          <w:rFonts w:cstheme="minorHAnsi"/>
          <w:sz w:val="24"/>
          <w:szCs w:val="24"/>
        </w:rPr>
      </w:pPr>
      <w:r w:rsidRPr="001904D5">
        <w:rPr>
          <w:rFonts w:cstheme="minorHAnsi"/>
          <w:sz w:val="24"/>
          <w:szCs w:val="24"/>
        </w:rPr>
        <w:t>Though infections due to chlamydia and gonorrhea can exist in one of two states, either symptomatic or asymptomatic, most infections are typically without symptoms and the proportion varies by sex. To quantify this for use in the models, we used data from one manuscript that estimated that 83.9% (Q1=80.6%, Q3=87.1%</w:t>
      </w:r>
      <w:r w:rsidRPr="001904D5">
        <w:rPr>
          <w:rFonts w:cstheme="minorHAnsi"/>
          <w:sz w:val="24"/>
          <w:szCs w:val="24"/>
          <w:shd w:val="clear" w:color="auto" w:fill="FCFCFC"/>
        </w:rPr>
        <w:t xml:space="preserve">) of men and </w:t>
      </w:r>
      <w:r w:rsidRPr="001904D5">
        <w:rPr>
          <w:rFonts w:cstheme="minorHAnsi"/>
          <w:sz w:val="24"/>
          <w:szCs w:val="24"/>
        </w:rPr>
        <w:t>74.5% (Q1=</w:t>
      </w:r>
      <w:r w:rsidRPr="001904D5">
        <w:rPr>
          <w:rFonts w:cstheme="minorHAnsi"/>
          <w:sz w:val="24"/>
          <w:szCs w:val="24"/>
          <w:shd w:val="clear" w:color="auto" w:fill="FCFCFC"/>
        </w:rPr>
        <w:t>71.6%, Q3=77.5%)</w:t>
      </w:r>
      <w:r w:rsidRPr="001904D5">
        <w:rPr>
          <w:rFonts w:cstheme="minorHAnsi"/>
          <w:sz w:val="24"/>
          <w:szCs w:val="24"/>
        </w:rPr>
        <w:t xml:space="preserve"> of women infected with chlamydia, and 41.3% (Q1=31.8%, Q3=51.1%) of men and 68.4% (Q1=61.8%, Q3=74.2%) of women infected with gonorrhea are asymptomatic.</w:t>
      </w:r>
      <w:r w:rsidR="00A647C7" w:rsidRPr="001904D5">
        <w:rPr>
          <w:rFonts w:cstheme="minorHAnsi"/>
          <w:sz w:val="24"/>
          <w:szCs w:val="24"/>
        </w:rPr>
        <w:t xml:space="preserve"> </w:t>
      </w:r>
      <w:r w:rsidRPr="001904D5">
        <w:rPr>
          <w:rFonts w:cstheme="minorHAnsi"/>
          <w:sz w:val="24"/>
          <w:szCs w:val="24"/>
        </w:rPr>
        <w:t xml:space="preserve"> By using these data we assumed that the proportion of cases that are asymptomatic did not vary by age group and also that the subjects </w:t>
      </w:r>
      <w:r w:rsidRPr="001904D5">
        <w:rPr>
          <w:sz w:val="24"/>
          <w:szCs w:val="24"/>
        </w:rPr>
        <w:t xml:space="preserve">from the study from which these numbers were drawn, which was a convenience sample of people aged 18–29 years in New Orleans, were representative of all people infected with chlamydia and/or </w:t>
      </w:r>
      <w:r w:rsidRPr="001904D5">
        <w:rPr>
          <w:rFonts w:cstheme="minorHAnsi"/>
          <w:sz w:val="24"/>
          <w:szCs w:val="24"/>
        </w:rPr>
        <w:t>gonorrhea</w:t>
      </w:r>
      <w:r w:rsidRPr="001904D5">
        <w:rPr>
          <w:sz w:val="24"/>
          <w:szCs w:val="24"/>
        </w:rPr>
        <w:t>.</w:t>
      </w:r>
      <w:r w:rsidR="008547FE" w:rsidRPr="001904D5">
        <w:rPr>
          <w:sz w:val="24"/>
          <w:szCs w:val="24"/>
        </w:rPr>
        <w:t xml:space="preserve"> (</w:t>
      </w:r>
      <w:r w:rsidR="00927CB9">
        <w:rPr>
          <w:sz w:val="24"/>
          <w:szCs w:val="24"/>
        </w:rPr>
        <w:t>4</w:t>
      </w:r>
      <w:r w:rsidR="008547FE" w:rsidRPr="001904D5">
        <w:rPr>
          <w:sz w:val="24"/>
          <w:szCs w:val="24"/>
        </w:rPr>
        <w:t>)</w:t>
      </w:r>
      <w:r w:rsidR="00A647C7" w:rsidRPr="001904D5">
        <w:rPr>
          <w:sz w:val="24"/>
          <w:szCs w:val="24"/>
        </w:rPr>
        <w:t xml:space="preserve"> </w:t>
      </w:r>
      <w:r w:rsidRPr="001904D5">
        <w:rPr>
          <w:sz w:val="24"/>
          <w:szCs w:val="24"/>
        </w:rPr>
        <w:t xml:space="preserve"> </w:t>
      </w:r>
    </w:p>
    <w:p w14:paraId="5E81E94E" w14:textId="77777777" w:rsidR="00607276" w:rsidRPr="001904D5" w:rsidRDefault="00607276" w:rsidP="00607276">
      <w:pPr>
        <w:spacing w:after="0" w:line="480" w:lineRule="auto"/>
        <w:ind w:firstLine="360"/>
        <w:rPr>
          <w:rFonts w:cstheme="minorHAnsi"/>
        </w:rPr>
      </w:pPr>
    </w:p>
    <w:p w14:paraId="38E04F3F" w14:textId="77777777" w:rsidR="00607276" w:rsidRPr="001904D5" w:rsidRDefault="00607276" w:rsidP="00607276">
      <w:pPr>
        <w:spacing w:after="0" w:line="480" w:lineRule="auto"/>
        <w:rPr>
          <w:rFonts w:cstheme="minorHAnsi"/>
          <w:b/>
          <w:i/>
          <w:sz w:val="24"/>
          <w:szCs w:val="24"/>
        </w:rPr>
      </w:pPr>
      <w:r w:rsidRPr="001904D5">
        <w:rPr>
          <w:rFonts w:cstheme="minorHAnsi"/>
          <w:b/>
          <w:i/>
          <w:sz w:val="24"/>
          <w:szCs w:val="24"/>
        </w:rPr>
        <w:t>Annual Background Screening Rate (</w:t>
      </w:r>
      <w:r w:rsidRPr="001904D5">
        <w:rPr>
          <w:rFonts w:cstheme="minorHAnsi"/>
          <w:b/>
          <w:i/>
          <w:sz w:val="28"/>
          <w:szCs w:val="28"/>
        </w:rPr>
        <w:t>σ</w:t>
      </w:r>
      <w:r w:rsidRPr="001904D5">
        <w:rPr>
          <w:rFonts w:cstheme="minorHAnsi"/>
          <w:b/>
          <w:i/>
          <w:sz w:val="24"/>
          <w:szCs w:val="24"/>
        </w:rPr>
        <w:t>)</w:t>
      </w:r>
    </w:p>
    <w:p w14:paraId="104CEBAC" w14:textId="3A8845E2" w:rsidR="00607276" w:rsidRPr="001904D5" w:rsidRDefault="00607276" w:rsidP="00607276">
      <w:pPr>
        <w:spacing w:after="0" w:line="480" w:lineRule="auto"/>
        <w:ind w:firstLine="360"/>
        <w:rPr>
          <w:rFonts w:cstheme="minorHAnsi"/>
          <w:sz w:val="24"/>
          <w:szCs w:val="24"/>
        </w:rPr>
      </w:pPr>
      <w:r w:rsidRPr="001904D5">
        <w:rPr>
          <w:rFonts w:cstheme="minorHAnsi"/>
          <w:sz w:val="24"/>
          <w:szCs w:val="24"/>
        </w:rPr>
        <w:t>We estimated the annual background screening rate for chlamydia and gonorrhea using data from the 2015–2017 cycle of the National Survey of Family Growth (NSFG).</w:t>
      </w:r>
      <w:r w:rsidR="008547FE" w:rsidRPr="001904D5">
        <w:rPr>
          <w:rFonts w:cstheme="minorHAnsi"/>
          <w:sz w:val="24"/>
          <w:szCs w:val="24"/>
        </w:rPr>
        <w:t xml:space="preserve"> (</w:t>
      </w:r>
      <w:r w:rsidR="00927CB9">
        <w:rPr>
          <w:rFonts w:cstheme="minorHAnsi"/>
          <w:sz w:val="24"/>
          <w:szCs w:val="24"/>
        </w:rPr>
        <w:t>5</w:t>
      </w:r>
      <w:r w:rsidR="008547FE" w:rsidRPr="001904D5">
        <w:rPr>
          <w:rFonts w:cstheme="minorHAnsi"/>
          <w:sz w:val="24"/>
          <w:szCs w:val="24"/>
        </w:rPr>
        <w:t>)</w:t>
      </w:r>
      <w:r w:rsidR="00A647C7" w:rsidRPr="001904D5">
        <w:rPr>
          <w:rFonts w:cstheme="minorHAnsi"/>
          <w:sz w:val="24"/>
          <w:szCs w:val="24"/>
        </w:rPr>
        <w:t xml:space="preserve"> </w:t>
      </w:r>
      <w:r w:rsidRPr="001904D5">
        <w:rPr>
          <w:rFonts w:cstheme="minorHAnsi"/>
          <w:sz w:val="24"/>
          <w:szCs w:val="24"/>
        </w:rPr>
        <w:t xml:space="preserve">Based on these data, we estimated that 14.4% (Q1=13.5%, Q3=15.3%) of men and 27.3% (Q1=26.1%, Q3=28.4%) of women aged 15–24 years were screened for chlamydia and gonorrhea in 2018. </w:t>
      </w:r>
      <w:r w:rsidRPr="001904D5">
        <w:rPr>
          <w:rFonts w:cstheme="minorHAnsi"/>
          <w:sz w:val="24"/>
          <w:szCs w:val="24"/>
        </w:rPr>
        <w:lastRenderedPageBreak/>
        <w:t xml:space="preserve">Likewise, we estimated 17.6% (Q1=16.5%, Q3=18.7%) of men and 31.1% (Q1=30.0%, Q3=32.3%) of women aged 25–39 years were screened for chlamydia and gonorrhea in 2018.  </w:t>
      </w:r>
    </w:p>
    <w:p w14:paraId="71F9D968" w14:textId="77777777" w:rsidR="00607276" w:rsidRPr="001904D5" w:rsidRDefault="00607276" w:rsidP="00607276">
      <w:pPr>
        <w:spacing w:after="0" w:line="480" w:lineRule="auto"/>
        <w:ind w:firstLine="360"/>
        <w:rPr>
          <w:rFonts w:eastAsia="Times New Roman" w:cstheme="minorHAnsi"/>
          <w:sz w:val="24"/>
          <w:szCs w:val="24"/>
        </w:rPr>
      </w:pPr>
      <w:r w:rsidRPr="001904D5">
        <w:rPr>
          <w:rFonts w:cstheme="minorHAnsi"/>
          <w:sz w:val="24"/>
          <w:szCs w:val="24"/>
        </w:rPr>
        <w:t xml:space="preserve">The use of these data came with several assumptions. First, we assumed the data were normally distributed. Second, we assumed that background screening was constant and stable throughout the cycle, that these estimates reflected the background screening percent at the midpoint of the cycle, and that the estimates from NSFG 2015–2017 were applicable to 2018. Third, we assumed that </w:t>
      </w:r>
      <w:r w:rsidRPr="001904D5">
        <w:rPr>
          <w:rFonts w:eastAsia="Times New Roman" w:cstheme="minorHAnsi"/>
          <w:sz w:val="24"/>
          <w:szCs w:val="24"/>
        </w:rPr>
        <w:t>if a person was</w:t>
      </w:r>
      <w:r w:rsidRPr="001904D5">
        <w:rPr>
          <w:rFonts w:cstheme="minorHAnsi"/>
          <w:sz w:val="24"/>
          <w:szCs w:val="24"/>
        </w:rPr>
        <w:t xml:space="preserve"> screened for chlamydia, they were also screened for gonorrhea, and hence the annual background screening rate was equal for both. Lastly</w:t>
      </w:r>
      <w:r w:rsidRPr="001904D5">
        <w:rPr>
          <w:rFonts w:eastAsia="Times New Roman" w:cstheme="minorHAnsi"/>
          <w:sz w:val="24"/>
          <w:szCs w:val="24"/>
        </w:rPr>
        <w:t xml:space="preserve">, </w:t>
      </w:r>
      <w:r w:rsidRPr="001904D5">
        <w:rPr>
          <w:rFonts w:cstheme="minorHAnsi"/>
          <w:sz w:val="24"/>
          <w:szCs w:val="24"/>
        </w:rPr>
        <w:t>these estimates are based on self-reported data, which are inherently subject to recall bias. The question asked of women was: “</w:t>
      </w:r>
      <w:r w:rsidRPr="001904D5">
        <w:rPr>
          <w:rFonts w:eastAsia="Times New Roman" w:cstheme="minorHAnsi"/>
          <w:sz w:val="24"/>
          <w:szCs w:val="24"/>
        </w:rPr>
        <w:t xml:space="preserve">In the last 12 months, have you been tested for chlamydia?” This question assumed that the rate of testing (typically for diagnostic purposes among symptomatic persons) was reflective of the rate of background screening in (typically asymptomatic) </w:t>
      </w:r>
      <w:r w:rsidRPr="001904D5">
        <w:rPr>
          <w:rFonts w:cstheme="minorHAnsi"/>
          <w:sz w:val="24"/>
          <w:szCs w:val="24"/>
        </w:rPr>
        <w:t>women</w:t>
      </w:r>
      <w:r w:rsidRPr="001904D5">
        <w:rPr>
          <w:rFonts w:eastAsia="Times New Roman" w:cstheme="minorHAnsi"/>
          <w:sz w:val="24"/>
          <w:szCs w:val="24"/>
        </w:rPr>
        <w:t xml:space="preserve">. </w:t>
      </w:r>
      <w:r w:rsidRPr="001904D5">
        <w:rPr>
          <w:rFonts w:cstheme="minorHAnsi"/>
          <w:sz w:val="24"/>
          <w:szCs w:val="24"/>
        </w:rPr>
        <w:t>The question asked of men was: “</w:t>
      </w:r>
      <w:r w:rsidRPr="001904D5">
        <w:rPr>
          <w:rFonts w:eastAsia="Times New Roman" w:cstheme="minorHAnsi"/>
          <w:sz w:val="24"/>
          <w:szCs w:val="24"/>
        </w:rPr>
        <w:t xml:space="preserve">In the past 12 months, have you been tested for a sexually transmitted disease like gonorrhea, chlamydia, herpes, or syphilis?” This question assumed that the rate of background screening in </w:t>
      </w:r>
      <w:r w:rsidRPr="001904D5">
        <w:rPr>
          <w:rFonts w:cstheme="minorHAnsi"/>
          <w:sz w:val="24"/>
          <w:szCs w:val="24"/>
        </w:rPr>
        <w:t>men</w:t>
      </w:r>
      <w:r w:rsidRPr="001904D5">
        <w:rPr>
          <w:rFonts w:eastAsia="Times New Roman" w:cstheme="minorHAnsi"/>
          <w:sz w:val="24"/>
          <w:szCs w:val="24"/>
        </w:rPr>
        <w:t xml:space="preserve"> was equivalent to the rate of testing for all STIs in men. </w:t>
      </w:r>
    </w:p>
    <w:p w14:paraId="19166644" w14:textId="77777777" w:rsidR="00607276" w:rsidRPr="001904D5" w:rsidRDefault="00607276" w:rsidP="00607276">
      <w:pPr>
        <w:spacing w:after="0" w:line="480" w:lineRule="auto"/>
        <w:ind w:firstLine="360"/>
        <w:rPr>
          <w:rFonts w:eastAsia="Times New Roman" w:cstheme="minorHAnsi"/>
          <w:sz w:val="24"/>
          <w:szCs w:val="24"/>
        </w:rPr>
      </w:pPr>
    </w:p>
    <w:p w14:paraId="0B5DFF5F" w14:textId="77777777" w:rsidR="00607276" w:rsidRPr="001904D5" w:rsidRDefault="00607276" w:rsidP="00607276">
      <w:pPr>
        <w:spacing w:after="0" w:line="480" w:lineRule="auto"/>
        <w:rPr>
          <w:rFonts w:cstheme="minorHAnsi"/>
          <w:b/>
          <w:i/>
          <w:sz w:val="24"/>
          <w:szCs w:val="24"/>
        </w:rPr>
      </w:pPr>
      <w:r w:rsidRPr="001904D5">
        <w:rPr>
          <w:rFonts w:cstheme="minorHAnsi"/>
          <w:b/>
          <w:i/>
          <w:sz w:val="24"/>
          <w:szCs w:val="24"/>
        </w:rPr>
        <w:t xml:space="preserve">Point Prevalence (P): Chlamydia </w:t>
      </w:r>
    </w:p>
    <w:p w14:paraId="301A899F" w14:textId="07112DFD" w:rsidR="00607276" w:rsidRPr="001904D5" w:rsidRDefault="00607276" w:rsidP="00607276">
      <w:pPr>
        <w:pStyle w:val="CommentText"/>
        <w:spacing w:after="0" w:line="480" w:lineRule="auto"/>
        <w:ind w:firstLine="360"/>
        <w:rPr>
          <w:rFonts w:cstheme="minorHAnsi"/>
          <w:color w:val="000000"/>
          <w:sz w:val="24"/>
          <w:szCs w:val="24"/>
        </w:rPr>
      </w:pPr>
      <w:r w:rsidRPr="001904D5">
        <w:rPr>
          <w:rFonts w:cstheme="minorHAnsi"/>
          <w:sz w:val="24"/>
          <w:szCs w:val="24"/>
        </w:rPr>
        <w:t>Chlamydial point prevalence estimates were calculated using data from the 2015–2018 cycles of NHANES.</w:t>
      </w:r>
      <w:r w:rsidR="008547FE" w:rsidRPr="001904D5">
        <w:rPr>
          <w:rFonts w:cstheme="minorHAnsi"/>
          <w:sz w:val="24"/>
          <w:szCs w:val="24"/>
        </w:rPr>
        <w:t xml:space="preserve"> (</w:t>
      </w:r>
      <w:r w:rsidR="005A48E8">
        <w:rPr>
          <w:rFonts w:cstheme="minorHAnsi"/>
          <w:sz w:val="24"/>
          <w:szCs w:val="24"/>
        </w:rPr>
        <w:t xml:space="preserve">6, </w:t>
      </w:r>
      <w:r w:rsidR="008547FE" w:rsidRPr="001904D5">
        <w:rPr>
          <w:rFonts w:cstheme="minorHAnsi"/>
          <w:sz w:val="24"/>
          <w:szCs w:val="24"/>
        </w:rPr>
        <w:t>7)</w:t>
      </w:r>
      <w:r w:rsidR="00D361CE" w:rsidRPr="001904D5">
        <w:rPr>
          <w:rFonts w:cstheme="minorHAnsi"/>
          <w:sz w:val="24"/>
          <w:szCs w:val="24"/>
        </w:rPr>
        <w:t xml:space="preserve"> </w:t>
      </w:r>
      <w:r w:rsidRPr="001904D5">
        <w:rPr>
          <w:rFonts w:cstheme="minorHAnsi"/>
          <w:sz w:val="24"/>
          <w:szCs w:val="24"/>
        </w:rPr>
        <w:t>NHANES is a cross-sectional, complex, multistage survey designed to be representative of the noninstitutionalized civilian population</w:t>
      </w:r>
      <w:r w:rsidRPr="001904D5">
        <w:rPr>
          <w:rFonts w:cstheme="minorHAnsi"/>
          <w:color w:val="000000"/>
          <w:sz w:val="24"/>
          <w:szCs w:val="24"/>
        </w:rPr>
        <w:t xml:space="preserve">. Participants undergo a medical examination as part of their participation and voluntary chlamydia testing is a part of this </w:t>
      </w:r>
      <w:r w:rsidRPr="001904D5">
        <w:rPr>
          <w:rFonts w:cstheme="minorHAnsi"/>
          <w:color w:val="000000"/>
          <w:sz w:val="24"/>
          <w:szCs w:val="24"/>
        </w:rPr>
        <w:lastRenderedPageBreak/>
        <w:t xml:space="preserve">examination. During NHANES 2015–2018, a total of 4,896 persons aged 15–39 years were interviewed and had a medical examination (overall response rate: 58.0%) and 4,756 (97.1%) provided a urine specimen for chlamydia testing, the results of which were the focus of these analyses. Stratifying by age group, 2,246 and 2,650 persons aged 15–24 and 25–39, respectively, underwent the medical examination (response rates: 59.7% and 56.5%) and 2,178 (96.9%) and 2,578 (97.3%) provided a urine specimen for chlamydia testing, respectively. </w:t>
      </w:r>
    </w:p>
    <w:p w14:paraId="16209313" w14:textId="4324F5E5" w:rsidR="00607276" w:rsidRPr="001904D5" w:rsidRDefault="00607276" w:rsidP="00607276">
      <w:pPr>
        <w:spacing w:after="0" w:line="480" w:lineRule="auto"/>
        <w:ind w:firstLine="360"/>
        <w:rPr>
          <w:rFonts w:cstheme="minorHAnsi"/>
          <w:sz w:val="24"/>
          <w:szCs w:val="24"/>
        </w:rPr>
      </w:pPr>
      <w:r w:rsidRPr="001904D5">
        <w:rPr>
          <w:sz w:val="24"/>
          <w:szCs w:val="24"/>
        </w:rPr>
        <w:t xml:space="preserve">We summarized age- and sex-specific point estimates by calculating the prevalence of </w:t>
      </w:r>
      <w:r w:rsidRPr="001904D5">
        <w:rPr>
          <w:rFonts w:cstheme="minorHAnsi"/>
          <w:color w:val="000000"/>
          <w:sz w:val="24"/>
          <w:szCs w:val="24"/>
        </w:rPr>
        <w:t>chlamydia</w:t>
      </w:r>
      <w:r w:rsidRPr="001904D5">
        <w:rPr>
          <w:sz w:val="24"/>
          <w:szCs w:val="24"/>
        </w:rPr>
        <w:t xml:space="preserve"> and associated relative standard error (RSE) for each subpopulation. </w:t>
      </w:r>
      <w:r w:rsidRPr="001904D5">
        <w:rPr>
          <w:rFonts w:cstheme="minorHAnsi"/>
          <w:color w:val="000000"/>
          <w:sz w:val="24"/>
          <w:szCs w:val="24"/>
          <w:lang w:val="en"/>
        </w:rPr>
        <w:t xml:space="preserve">The </w:t>
      </w:r>
      <w:r w:rsidRPr="001904D5">
        <w:rPr>
          <w:rFonts w:cstheme="minorHAnsi"/>
          <w:sz w:val="24"/>
          <w:szCs w:val="24"/>
        </w:rPr>
        <w:t>mobile examination center weights were combined across the 2015</w:t>
      </w:r>
      <w:r w:rsidRPr="001904D5">
        <w:rPr>
          <w:rFonts w:cstheme="minorHAnsi"/>
          <w:color w:val="000000"/>
          <w:sz w:val="24"/>
          <w:szCs w:val="24"/>
        </w:rPr>
        <w:t>–</w:t>
      </w:r>
      <w:r w:rsidRPr="001904D5">
        <w:rPr>
          <w:rFonts w:cstheme="minorHAnsi"/>
          <w:sz w:val="24"/>
          <w:szCs w:val="24"/>
        </w:rPr>
        <w:t>2016 and 2017</w:t>
      </w:r>
      <w:r w:rsidRPr="001904D5">
        <w:rPr>
          <w:rFonts w:cstheme="minorHAnsi"/>
          <w:color w:val="000000"/>
          <w:sz w:val="24"/>
          <w:szCs w:val="24"/>
        </w:rPr>
        <w:t>–</w:t>
      </w:r>
      <w:r w:rsidRPr="001904D5">
        <w:rPr>
          <w:rFonts w:cstheme="minorHAnsi"/>
          <w:sz w:val="24"/>
          <w:szCs w:val="24"/>
        </w:rPr>
        <w:t xml:space="preserve">2018 NHANES cycles </w:t>
      </w:r>
      <w:r w:rsidRPr="001904D5">
        <w:rPr>
          <w:rFonts w:cstheme="minorHAnsi"/>
          <w:color w:val="000000"/>
          <w:sz w:val="24"/>
          <w:szCs w:val="24"/>
          <w:lang w:val="en"/>
        </w:rPr>
        <w:t xml:space="preserve">to generate estimates of greater statistical reliability and we used the combined weights in addition to SAS-callable SUDAAN procedures </w:t>
      </w:r>
      <w:r w:rsidRPr="001904D5">
        <w:rPr>
          <w:rFonts w:cstheme="minorHAnsi"/>
          <w:sz w:val="24"/>
          <w:szCs w:val="24"/>
        </w:rPr>
        <w:t xml:space="preserve">to account for the complex survey sampling design.  </w:t>
      </w:r>
      <w:r w:rsidRPr="001904D5">
        <w:rPr>
          <w:sz w:val="24"/>
          <w:szCs w:val="24"/>
        </w:rPr>
        <w:t xml:space="preserve">We then generated a probability distribution around the NHANES point prevalence estimates for each subpopulation to generate the median prevalence of chlamydia by sampling from a normal distribution with mean equal to the point estimate and standard deviation equal to the point estimate * RSE. </w:t>
      </w:r>
      <w:r w:rsidRPr="001904D5">
        <w:rPr>
          <w:rFonts w:cstheme="minorHAnsi"/>
          <w:sz w:val="24"/>
          <w:szCs w:val="24"/>
        </w:rPr>
        <w:t xml:space="preserve">The use of NHANES data came with several assumptions. First, we assumed a normal distribution of the NHANES 2015–2018 data. Second, as chlamydia testing is performed on urine specimens in NHANES, these estimates represented urogenital infections only and excluded extragenital sites, such as the rectum or oropharynx. These estimates also did not account for infections in anyone younger than 15 and older than 39 years of age. Third, by applying the prevalence estimates from NHANES, which are representative of the US non-institutionalized civilian population, to the ACS full resident population estimates to calculate the number of prevalent infections, we assumed that the prevalence of </w:t>
      </w:r>
      <w:r w:rsidRPr="001904D5">
        <w:rPr>
          <w:rFonts w:cstheme="minorHAnsi"/>
          <w:color w:val="000000"/>
          <w:sz w:val="24"/>
          <w:szCs w:val="24"/>
        </w:rPr>
        <w:t>chlamydia</w:t>
      </w:r>
      <w:r w:rsidRPr="001904D5">
        <w:rPr>
          <w:rFonts w:cstheme="minorHAnsi"/>
          <w:sz w:val="24"/>
          <w:szCs w:val="24"/>
        </w:rPr>
        <w:t xml:space="preserve"> in the </w:t>
      </w:r>
      <w:r w:rsidRPr="001904D5">
        <w:rPr>
          <w:rFonts w:cstheme="minorHAnsi"/>
          <w:sz w:val="24"/>
          <w:szCs w:val="24"/>
        </w:rPr>
        <w:lastRenderedPageBreak/>
        <w:t>institutionalized and military population was equivalent to the prevalence in the non-institutionalized population. Fourth, by combining the 2015</w:t>
      </w:r>
      <w:r w:rsidRPr="001904D5">
        <w:rPr>
          <w:rFonts w:cstheme="minorHAnsi"/>
          <w:color w:val="000000"/>
          <w:sz w:val="24"/>
          <w:szCs w:val="24"/>
        </w:rPr>
        <w:t>–</w:t>
      </w:r>
      <w:r w:rsidRPr="001904D5">
        <w:rPr>
          <w:rFonts w:cstheme="minorHAnsi"/>
          <w:sz w:val="24"/>
          <w:szCs w:val="24"/>
        </w:rPr>
        <w:t>2016 and 2017</w:t>
      </w:r>
      <w:r w:rsidRPr="001904D5">
        <w:rPr>
          <w:rFonts w:cstheme="minorHAnsi"/>
          <w:color w:val="000000"/>
          <w:sz w:val="24"/>
          <w:szCs w:val="24"/>
        </w:rPr>
        <w:t>–</w:t>
      </w:r>
      <w:r w:rsidRPr="001904D5">
        <w:rPr>
          <w:rFonts w:cstheme="minorHAnsi"/>
          <w:sz w:val="24"/>
          <w:szCs w:val="24"/>
        </w:rPr>
        <w:t xml:space="preserve">2018 NHANES cycles, we assumed that the prevalence was constant and stable across the cycles and that these estimates reflected the prevalence of </w:t>
      </w:r>
      <w:r w:rsidRPr="001904D5">
        <w:rPr>
          <w:rFonts w:cstheme="minorHAnsi"/>
          <w:color w:val="000000"/>
          <w:sz w:val="24"/>
          <w:szCs w:val="24"/>
        </w:rPr>
        <w:t>chlamydia</w:t>
      </w:r>
      <w:r w:rsidRPr="001904D5">
        <w:rPr>
          <w:rFonts w:cstheme="minorHAnsi"/>
          <w:sz w:val="24"/>
          <w:szCs w:val="24"/>
        </w:rPr>
        <w:t xml:space="preserve"> at the midpoint of the estimation period. Lastly, given the availability of </w:t>
      </w:r>
      <w:r w:rsidRPr="001904D5">
        <w:rPr>
          <w:rFonts w:cstheme="minorHAnsi"/>
          <w:color w:val="000000"/>
          <w:sz w:val="24"/>
          <w:szCs w:val="24"/>
        </w:rPr>
        <w:t>chlamydia</w:t>
      </w:r>
      <w:r w:rsidRPr="001904D5">
        <w:rPr>
          <w:rFonts w:cstheme="minorHAnsi"/>
          <w:sz w:val="24"/>
          <w:szCs w:val="24"/>
        </w:rPr>
        <w:t xml:space="preserve"> prevalence data from NHANES and the need to incorporate the prevalence data into the incidence model, the point prevalence of </w:t>
      </w:r>
      <w:r w:rsidRPr="001904D5">
        <w:rPr>
          <w:rFonts w:cstheme="minorHAnsi"/>
          <w:color w:val="000000"/>
          <w:sz w:val="24"/>
          <w:szCs w:val="24"/>
        </w:rPr>
        <w:t>chlamydia</w:t>
      </w:r>
      <w:r w:rsidRPr="001904D5">
        <w:rPr>
          <w:rFonts w:cstheme="minorHAnsi"/>
          <w:sz w:val="24"/>
          <w:szCs w:val="24"/>
        </w:rPr>
        <w:t xml:space="preserve"> was both an input and an output. </w:t>
      </w:r>
    </w:p>
    <w:p w14:paraId="0BA010A1" w14:textId="77777777" w:rsidR="00607276" w:rsidRPr="001904D5" w:rsidRDefault="00607276" w:rsidP="00607276">
      <w:pPr>
        <w:pStyle w:val="CommentText"/>
        <w:spacing w:after="0" w:line="480" w:lineRule="auto"/>
        <w:rPr>
          <w:b/>
          <w:bCs/>
          <w:sz w:val="24"/>
          <w:szCs w:val="24"/>
        </w:rPr>
      </w:pPr>
    </w:p>
    <w:p w14:paraId="660A4E78" w14:textId="77777777" w:rsidR="00607276" w:rsidRPr="001904D5" w:rsidRDefault="00607276" w:rsidP="00607276">
      <w:pPr>
        <w:spacing w:after="0" w:line="480" w:lineRule="auto"/>
        <w:rPr>
          <w:rFonts w:cstheme="minorHAnsi"/>
          <w:b/>
          <w:bCs/>
          <w:i/>
          <w:iCs/>
          <w:sz w:val="24"/>
          <w:szCs w:val="24"/>
        </w:rPr>
      </w:pPr>
      <w:r w:rsidRPr="001904D5">
        <w:rPr>
          <w:rFonts w:cstheme="minorHAnsi"/>
          <w:b/>
          <w:bCs/>
          <w:i/>
          <w:iCs/>
          <w:sz w:val="24"/>
          <w:szCs w:val="24"/>
        </w:rPr>
        <w:t>Antimicrobial Resistant Gonorrhea</w:t>
      </w:r>
    </w:p>
    <w:p w14:paraId="3471406A" w14:textId="7F0CD369" w:rsidR="00607276" w:rsidRPr="001904D5" w:rsidRDefault="008D47D2" w:rsidP="00607276">
      <w:pPr>
        <w:spacing w:after="0" w:line="480" w:lineRule="auto"/>
        <w:ind w:firstLine="360"/>
        <w:rPr>
          <w:sz w:val="24"/>
          <w:szCs w:val="24"/>
        </w:rPr>
      </w:pPr>
      <w:r>
        <w:rPr>
          <w:sz w:val="24"/>
          <w:szCs w:val="24"/>
        </w:rPr>
        <w:t>W</w:t>
      </w:r>
      <w:r w:rsidR="00607276" w:rsidRPr="001904D5">
        <w:rPr>
          <w:sz w:val="24"/>
          <w:szCs w:val="24"/>
        </w:rPr>
        <w:t>e estimated the number of prevalent and incident AMR gonococcal infections using data from the Gonococcal Isolate Surveillance Program (GISP), which is the national sentinel surveillance system established in 1986 for AMR gonorrhea surveillance in the US.</w:t>
      </w:r>
      <w:r w:rsidR="006C53E2" w:rsidRPr="001904D5">
        <w:rPr>
          <w:sz w:val="24"/>
          <w:szCs w:val="24"/>
        </w:rPr>
        <w:t xml:space="preserve"> (</w:t>
      </w:r>
      <w:r w:rsidR="005A48E8">
        <w:rPr>
          <w:sz w:val="24"/>
          <w:szCs w:val="24"/>
        </w:rPr>
        <w:t>8</w:t>
      </w:r>
      <w:r w:rsidR="006C53E2" w:rsidRPr="001904D5">
        <w:rPr>
          <w:sz w:val="24"/>
          <w:szCs w:val="24"/>
        </w:rPr>
        <w:t>)</w:t>
      </w:r>
      <w:r w:rsidR="00607276" w:rsidRPr="001904D5">
        <w:rPr>
          <w:sz w:val="24"/>
          <w:szCs w:val="24"/>
        </w:rPr>
        <w:t xml:space="preserve"> This system collects gonococcal isolates from STI clinics around the US and performs susceptibility testing to evaluate resistance trends over time.</w:t>
      </w:r>
      <w:r w:rsidR="006C53E2" w:rsidRPr="001904D5">
        <w:rPr>
          <w:sz w:val="24"/>
          <w:szCs w:val="24"/>
        </w:rPr>
        <w:t xml:space="preserve"> (</w:t>
      </w:r>
      <w:r w:rsidR="005A48E8">
        <w:rPr>
          <w:sz w:val="24"/>
          <w:szCs w:val="24"/>
        </w:rPr>
        <w:t>8</w:t>
      </w:r>
      <w:r w:rsidR="006C53E2" w:rsidRPr="001904D5">
        <w:rPr>
          <w:sz w:val="24"/>
          <w:szCs w:val="24"/>
        </w:rPr>
        <w:t>)</w:t>
      </w:r>
      <w:r w:rsidR="006952F9" w:rsidRPr="001904D5">
        <w:rPr>
          <w:sz w:val="24"/>
          <w:szCs w:val="24"/>
        </w:rPr>
        <w:t xml:space="preserve"> </w:t>
      </w:r>
      <w:r w:rsidR="00607276" w:rsidRPr="001904D5">
        <w:rPr>
          <w:sz w:val="24"/>
          <w:szCs w:val="24"/>
        </w:rPr>
        <w:t xml:space="preserve"> </w:t>
      </w:r>
    </w:p>
    <w:p w14:paraId="77C0EEC8" w14:textId="20B519A1" w:rsidR="00607276" w:rsidRPr="001904D5" w:rsidRDefault="00607276" w:rsidP="00607276">
      <w:pPr>
        <w:spacing w:after="0" w:line="480" w:lineRule="auto"/>
        <w:ind w:firstLine="360"/>
        <w:rPr>
          <w:sz w:val="24"/>
          <w:szCs w:val="24"/>
        </w:rPr>
      </w:pPr>
      <w:r w:rsidRPr="001904D5">
        <w:rPr>
          <w:sz w:val="24"/>
          <w:szCs w:val="24"/>
        </w:rPr>
        <w:t>In 2018, GISP performed susceptibility testing for ceftriaxone, cefixime, azithromycin, ciprofloxacin, penicillin, and tetracycline. When available, resistance breakpoints defined by the Clinical Laboratory and Standards Institute (CLSI) were used. When unavailable, isolates with elevated minimum inhibitory concentrations (MICs) were defined by GISP.</w:t>
      </w:r>
      <w:r w:rsidR="006C53E2" w:rsidRPr="001904D5">
        <w:rPr>
          <w:sz w:val="24"/>
          <w:szCs w:val="24"/>
        </w:rPr>
        <w:t xml:space="preserve"> (</w:t>
      </w:r>
      <w:r w:rsidR="005A48E8">
        <w:rPr>
          <w:sz w:val="24"/>
          <w:szCs w:val="24"/>
        </w:rPr>
        <w:t>9</w:t>
      </w:r>
      <w:r w:rsidR="006C53E2" w:rsidRPr="001904D5">
        <w:rPr>
          <w:sz w:val="24"/>
          <w:szCs w:val="24"/>
        </w:rPr>
        <w:t>)</w:t>
      </w:r>
      <w:r w:rsidR="00191132" w:rsidRPr="001904D5">
        <w:rPr>
          <w:sz w:val="24"/>
          <w:szCs w:val="24"/>
        </w:rPr>
        <w:t xml:space="preserve"> </w:t>
      </w:r>
      <w:r w:rsidRPr="001904D5">
        <w:rPr>
          <w:sz w:val="24"/>
          <w:szCs w:val="24"/>
        </w:rPr>
        <w:t>We used the following criteria to identify isolates as resistant or having elevated MICs:</w:t>
      </w:r>
    </w:p>
    <w:p w14:paraId="3F956B6A" w14:textId="77777777" w:rsidR="00607276" w:rsidRPr="001904D5" w:rsidRDefault="00607276" w:rsidP="00607276">
      <w:pPr>
        <w:pStyle w:val="ListParagraph"/>
        <w:numPr>
          <w:ilvl w:val="0"/>
          <w:numId w:val="28"/>
        </w:numPr>
        <w:spacing w:after="0" w:line="480" w:lineRule="auto"/>
        <w:rPr>
          <w:sz w:val="24"/>
          <w:szCs w:val="24"/>
        </w:rPr>
      </w:pPr>
      <w:r w:rsidRPr="001904D5">
        <w:rPr>
          <w:sz w:val="24"/>
          <w:szCs w:val="24"/>
        </w:rPr>
        <w:t xml:space="preserve">Ceftriaxone: MIC ≥0.125 </w:t>
      </w:r>
      <w:proofErr w:type="spellStart"/>
      <w:r w:rsidRPr="001904D5">
        <w:rPr>
          <w:sz w:val="24"/>
          <w:szCs w:val="24"/>
        </w:rPr>
        <w:t>μg</w:t>
      </w:r>
      <w:proofErr w:type="spellEnd"/>
      <w:r w:rsidRPr="001904D5">
        <w:rPr>
          <w:sz w:val="24"/>
          <w:szCs w:val="24"/>
        </w:rPr>
        <w:t>/ml, elevated MIC</w:t>
      </w:r>
    </w:p>
    <w:p w14:paraId="6246859E" w14:textId="77777777" w:rsidR="00607276" w:rsidRPr="001904D5" w:rsidRDefault="00607276" w:rsidP="00607276">
      <w:pPr>
        <w:pStyle w:val="ListParagraph"/>
        <w:numPr>
          <w:ilvl w:val="0"/>
          <w:numId w:val="28"/>
        </w:numPr>
        <w:spacing w:after="0" w:line="480" w:lineRule="auto"/>
        <w:rPr>
          <w:sz w:val="24"/>
          <w:szCs w:val="24"/>
        </w:rPr>
      </w:pPr>
      <w:r w:rsidRPr="001904D5">
        <w:rPr>
          <w:sz w:val="24"/>
          <w:szCs w:val="24"/>
        </w:rPr>
        <w:t xml:space="preserve">Cefixime: MIC ≥0.25 </w:t>
      </w:r>
      <w:proofErr w:type="spellStart"/>
      <w:r w:rsidRPr="001904D5">
        <w:rPr>
          <w:sz w:val="24"/>
          <w:szCs w:val="24"/>
        </w:rPr>
        <w:t>μg</w:t>
      </w:r>
      <w:proofErr w:type="spellEnd"/>
      <w:r w:rsidRPr="001904D5">
        <w:rPr>
          <w:sz w:val="24"/>
          <w:szCs w:val="24"/>
        </w:rPr>
        <w:t>/ml, elevated MIC</w:t>
      </w:r>
    </w:p>
    <w:p w14:paraId="4680DC82" w14:textId="77777777" w:rsidR="00607276" w:rsidRPr="001904D5" w:rsidRDefault="00607276" w:rsidP="00607276">
      <w:pPr>
        <w:pStyle w:val="ListParagraph"/>
        <w:numPr>
          <w:ilvl w:val="0"/>
          <w:numId w:val="28"/>
        </w:numPr>
        <w:spacing w:after="0" w:line="480" w:lineRule="auto"/>
        <w:rPr>
          <w:sz w:val="24"/>
          <w:szCs w:val="24"/>
        </w:rPr>
      </w:pPr>
      <w:r w:rsidRPr="001904D5">
        <w:rPr>
          <w:sz w:val="24"/>
          <w:szCs w:val="24"/>
        </w:rPr>
        <w:t xml:space="preserve">Azithromycin: MIC ≥2.0 </w:t>
      </w:r>
      <w:proofErr w:type="spellStart"/>
      <w:r w:rsidRPr="001904D5">
        <w:rPr>
          <w:sz w:val="24"/>
          <w:szCs w:val="24"/>
        </w:rPr>
        <w:t>μg</w:t>
      </w:r>
      <w:proofErr w:type="spellEnd"/>
      <w:r w:rsidRPr="001904D5">
        <w:rPr>
          <w:sz w:val="24"/>
          <w:szCs w:val="24"/>
        </w:rPr>
        <w:t>/ml, elevated MIC</w:t>
      </w:r>
    </w:p>
    <w:p w14:paraId="58984676" w14:textId="77777777" w:rsidR="00607276" w:rsidRPr="001904D5" w:rsidRDefault="00607276" w:rsidP="00607276">
      <w:pPr>
        <w:pStyle w:val="ListParagraph"/>
        <w:numPr>
          <w:ilvl w:val="0"/>
          <w:numId w:val="28"/>
        </w:numPr>
        <w:spacing w:after="0" w:line="480" w:lineRule="auto"/>
        <w:rPr>
          <w:sz w:val="24"/>
          <w:szCs w:val="24"/>
        </w:rPr>
      </w:pPr>
      <w:r w:rsidRPr="001904D5">
        <w:rPr>
          <w:sz w:val="24"/>
          <w:szCs w:val="24"/>
        </w:rPr>
        <w:lastRenderedPageBreak/>
        <w:t xml:space="preserve">Ciprofloxacin: MIC ≥1.0 </w:t>
      </w:r>
      <w:proofErr w:type="spellStart"/>
      <w:r w:rsidRPr="001904D5">
        <w:rPr>
          <w:sz w:val="24"/>
          <w:szCs w:val="24"/>
        </w:rPr>
        <w:t>μg</w:t>
      </w:r>
      <w:proofErr w:type="spellEnd"/>
      <w:r w:rsidRPr="001904D5">
        <w:rPr>
          <w:sz w:val="24"/>
          <w:szCs w:val="24"/>
        </w:rPr>
        <w:t>/ml, resistance</w:t>
      </w:r>
    </w:p>
    <w:p w14:paraId="64D3F189" w14:textId="77777777" w:rsidR="00607276" w:rsidRPr="001904D5" w:rsidRDefault="00607276" w:rsidP="00607276">
      <w:pPr>
        <w:pStyle w:val="ListParagraph"/>
        <w:numPr>
          <w:ilvl w:val="0"/>
          <w:numId w:val="28"/>
        </w:numPr>
        <w:spacing w:after="0" w:line="480" w:lineRule="auto"/>
        <w:rPr>
          <w:sz w:val="24"/>
          <w:szCs w:val="24"/>
        </w:rPr>
      </w:pPr>
      <w:r w:rsidRPr="001904D5">
        <w:rPr>
          <w:sz w:val="24"/>
          <w:szCs w:val="24"/>
        </w:rPr>
        <w:t xml:space="preserve">Penicillin: MIC ≥2.0 </w:t>
      </w:r>
      <w:proofErr w:type="spellStart"/>
      <w:r w:rsidRPr="001904D5">
        <w:rPr>
          <w:sz w:val="24"/>
          <w:szCs w:val="24"/>
        </w:rPr>
        <w:t>μg</w:t>
      </w:r>
      <w:proofErr w:type="spellEnd"/>
      <w:r w:rsidRPr="001904D5">
        <w:rPr>
          <w:sz w:val="24"/>
          <w:szCs w:val="24"/>
        </w:rPr>
        <w:t>/ml, resistance</w:t>
      </w:r>
    </w:p>
    <w:p w14:paraId="31E5F85A" w14:textId="77777777" w:rsidR="00607276" w:rsidRPr="001904D5" w:rsidRDefault="00607276" w:rsidP="00607276">
      <w:pPr>
        <w:pStyle w:val="ListParagraph"/>
        <w:numPr>
          <w:ilvl w:val="0"/>
          <w:numId w:val="28"/>
        </w:numPr>
        <w:spacing w:after="0" w:line="480" w:lineRule="auto"/>
        <w:rPr>
          <w:sz w:val="24"/>
          <w:szCs w:val="24"/>
        </w:rPr>
      </w:pPr>
      <w:r w:rsidRPr="001904D5">
        <w:rPr>
          <w:sz w:val="24"/>
          <w:szCs w:val="24"/>
        </w:rPr>
        <w:t xml:space="preserve">Tetracycline: MIC ≥2.0 </w:t>
      </w:r>
      <w:proofErr w:type="spellStart"/>
      <w:r w:rsidRPr="001904D5">
        <w:rPr>
          <w:sz w:val="24"/>
          <w:szCs w:val="24"/>
        </w:rPr>
        <w:t>μg</w:t>
      </w:r>
      <w:proofErr w:type="spellEnd"/>
      <w:r w:rsidRPr="001904D5">
        <w:rPr>
          <w:sz w:val="24"/>
          <w:szCs w:val="24"/>
        </w:rPr>
        <w:t>/ml, resistance.</w:t>
      </w:r>
    </w:p>
    <w:p w14:paraId="5E755788" w14:textId="4E88DC20" w:rsidR="00607276" w:rsidRPr="001904D5" w:rsidRDefault="00607276" w:rsidP="00607276">
      <w:pPr>
        <w:spacing w:after="0" w:line="480" w:lineRule="auto"/>
        <w:rPr>
          <w:sz w:val="24"/>
          <w:szCs w:val="24"/>
        </w:rPr>
      </w:pPr>
      <w:r w:rsidRPr="001904D5">
        <w:rPr>
          <w:sz w:val="24"/>
          <w:szCs w:val="24"/>
        </w:rPr>
        <w:t xml:space="preserve">Using GISP data, it was estimated that 51.3% of all gonococcal infections in 2018 demonstrated resistance or elevated MICs to </w:t>
      </w:r>
      <w:r w:rsidRPr="001904D5">
        <w:rPr>
          <w:rFonts w:cstheme="minorHAnsi"/>
          <w:sz w:val="24"/>
          <w:szCs w:val="24"/>
        </w:rPr>
        <w:t>≥</w:t>
      </w:r>
      <w:r w:rsidRPr="001904D5">
        <w:rPr>
          <w:sz w:val="24"/>
          <w:szCs w:val="24"/>
        </w:rPr>
        <w:t>1 antimicrobial tested.</w:t>
      </w:r>
      <w:r w:rsidR="006C53E2" w:rsidRPr="001904D5">
        <w:rPr>
          <w:sz w:val="24"/>
          <w:szCs w:val="24"/>
        </w:rPr>
        <w:t xml:space="preserve"> (</w:t>
      </w:r>
      <w:r w:rsidR="00C10441">
        <w:rPr>
          <w:sz w:val="24"/>
          <w:szCs w:val="24"/>
        </w:rPr>
        <w:t>2</w:t>
      </w:r>
      <w:r w:rsidR="006C53E2" w:rsidRPr="001904D5">
        <w:rPr>
          <w:sz w:val="24"/>
          <w:szCs w:val="24"/>
        </w:rPr>
        <w:t>)</w:t>
      </w:r>
      <w:r w:rsidR="00191132" w:rsidRPr="001904D5">
        <w:rPr>
          <w:sz w:val="24"/>
          <w:szCs w:val="24"/>
        </w:rPr>
        <w:t xml:space="preserve"> </w:t>
      </w:r>
      <w:r w:rsidRPr="001904D5">
        <w:rPr>
          <w:sz w:val="24"/>
          <w:szCs w:val="24"/>
        </w:rPr>
        <w:t>We then multiplied the total number of prevalent and incident gonococcal infections by this proportion to calculate the number of prevalent and incident AMR gonococcal infections for 2018.</w:t>
      </w:r>
      <w:r w:rsidR="00A7204F" w:rsidRPr="001904D5">
        <w:rPr>
          <w:sz w:val="24"/>
          <w:szCs w:val="24"/>
        </w:rPr>
        <w:t xml:space="preserve"> Of note, the only currently recommended drug to treat gonorrhea is ceftriaxone; 0.2% of all gonococcal infections in GISP demonstrated elevated MICs to ceftriaxone in 2018.</w:t>
      </w:r>
      <w:r w:rsidR="006C53E2" w:rsidRPr="001904D5">
        <w:rPr>
          <w:sz w:val="24"/>
          <w:szCs w:val="24"/>
        </w:rPr>
        <w:t xml:space="preserve"> (</w:t>
      </w:r>
      <w:r w:rsidR="00C10441">
        <w:rPr>
          <w:sz w:val="24"/>
          <w:szCs w:val="24"/>
        </w:rPr>
        <w:t>2</w:t>
      </w:r>
      <w:r w:rsidR="006C53E2" w:rsidRPr="001904D5">
        <w:rPr>
          <w:sz w:val="24"/>
          <w:szCs w:val="24"/>
        </w:rPr>
        <w:t>, 1</w:t>
      </w:r>
      <w:r w:rsidR="005A3DDC">
        <w:rPr>
          <w:sz w:val="24"/>
          <w:szCs w:val="24"/>
        </w:rPr>
        <w:t>0</w:t>
      </w:r>
      <w:r w:rsidR="006C53E2" w:rsidRPr="001904D5">
        <w:rPr>
          <w:sz w:val="24"/>
          <w:szCs w:val="24"/>
        </w:rPr>
        <w:t>)</w:t>
      </w:r>
      <w:r w:rsidR="00AF70BC" w:rsidRPr="001904D5">
        <w:rPr>
          <w:sz w:val="24"/>
          <w:szCs w:val="24"/>
        </w:rPr>
        <w:t xml:space="preserve"> </w:t>
      </w:r>
    </w:p>
    <w:p w14:paraId="56ABD725" w14:textId="77777777" w:rsidR="00607276" w:rsidRPr="001904D5" w:rsidRDefault="00607276" w:rsidP="00607276">
      <w:pPr>
        <w:spacing w:after="0" w:line="480" w:lineRule="auto"/>
        <w:rPr>
          <w:sz w:val="24"/>
          <w:szCs w:val="24"/>
        </w:rPr>
      </w:pPr>
    </w:p>
    <w:p w14:paraId="19697F02" w14:textId="77777777" w:rsidR="00607276" w:rsidRPr="001904D5" w:rsidRDefault="00607276" w:rsidP="00607276">
      <w:pPr>
        <w:spacing w:after="0" w:line="480" w:lineRule="auto"/>
        <w:rPr>
          <w:rFonts w:cstheme="minorHAnsi"/>
          <w:b/>
          <w:i/>
          <w:sz w:val="24"/>
          <w:szCs w:val="24"/>
        </w:rPr>
      </w:pPr>
      <w:r w:rsidRPr="001904D5">
        <w:rPr>
          <w:rFonts w:cstheme="minorHAnsi"/>
          <w:b/>
          <w:i/>
          <w:sz w:val="24"/>
          <w:szCs w:val="24"/>
        </w:rPr>
        <w:t>Rate of Natural Clearance (ψ)</w:t>
      </w:r>
    </w:p>
    <w:p w14:paraId="7F3A3E06" w14:textId="77777777" w:rsidR="00607276" w:rsidRPr="001904D5" w:rsidRDefault="00607276" w:rsidP="00607276">
      <w:pPr>
        <w:spacing w:after="0" w:line="480" w:lineRule="auto"/>
        <w:ind w:firstLine="360"/>
        <w:rPr>
          <w:rFonts w:cstheme="minorHAnsi"/>
          <w:bCs/>
          <w:iCs/>
          <w:sz w:val="24"/>
          <w:szCs w:val="24"/>
        </w:rPr>
      </w:pPr>
      <w:r w:rsidRPr="001904D5">
        <w:rPr>
          <w:rFonts w:cstheme="minorHAnsi"/>
          <w:bCs/>
          <w:iCs/>
          <w:sz w:val="24"/>
          <w:szCs w:val="24"/>
        </w:rPr>
        <w:t xml:space="preserve">Informed by data from the literature, we calculated the rate of natural clearance of </w:t>
      </w:r>
      <w:r w:rsidRPr="001904D5">
        <w:rPr>
          <w:rFonts w:cstheme="minorHAnsi"/>
          <w:color w:val="000000"/>
          <w:sz w:val="24"/>
          <w:szCs w:val="24"/>
        </w:rPr>
        <w:t>chlamydia</w:t>
      </w:r>
      <w:r w:rsidRPr="001904D5">
        <w:rPr>
          <w:rFonts w:cstheme="minorHAnsi"/>
          <w:bCs/>
          <w:iCs/>
          <w:sz w:val="24"/>
          <w:szCs w:val="24"/>
        </w:rPr>
        <w:t xml:space="preserve"> and </w:t>
      </w:r>
      <w:r w:rsidRPr="001904D5">
        <w:rPr>
          <w:rFonts w:cstheme="minorHAnsi"/>
          <w:sz w:val="24"/>
          <w:szCs w:val="24"/>
        </w:rPr>
        <w:t>gonorrhea</w:t>
      </w:r>
      <w:r w:rsidRPr="001904D5">
        <w:rPr>
          <w:rFonts w:cstheme="minorHAnsi"/>
          <w:bCs/>
          <w:iCs/>
          <w:sz w:val="24"/>
          <w:szCs w:val="24"/>
        </w:rPr>
        <w:t xml:space="preserve"> among asymptomatically infected people as:</w:t>
      </w:r>
    </w:p>
    <w:p w14:paraId="786A6543" w14:textId="77777777" w:rsidR="00607276" w:rsidRPr="001904D5" w:rsidRDefault="00607276" w:rsidP="00607276">
      <w:pPr>
        <w:spacing w:after="0" w:line="480" w:lineRule="auto"/>
        <w:ind w:firstLine="360"/>
        <w:rPr>
          <w:rFonts w:cstheme="minorHAnsi"/>
          <w:bCs/>
          <w:iCs/>
          <w:sz w:val="24"/>
          <w:szCs w:val="24"/>
        </w:rPr>
      </w:pPr>
    </w:p>
    <w:p w14:paraId="24BBA990" w14:textId="77777777" w:rsidR="00607276" w:rsidRPr="00150966" w:rsidRDefault="00607276" w:rsidP="00607276">
      <w:pPr>
        <w:spacing w:after="0" w:line="240" w:lineRule="auto"/>
        <w:ind w:firstLine="360"/>
        <w:jc w:val="center"/>
        <w:rPr>
          <w:rFonts w:cstheme="minorHAnsi"/>
          <w:bCs/>
          <w:iCs/>
          <w:sz w:val="24"/>
          <w:szCs w:val="24"/>
        </w:rPr>
      </w:pPr>
      <w:r w:rsidRPr="001904D5">
        <w:rPr>
          <w:rFonts w:cstheme="minorHAnsi"/>
          <w:bCs/>
          <w:iCs/>
          <w:noProof/>
          <w:sz w:val="24"/>
          <w:szCs w:val="24"/>
        </w:rPr>
        <mc:AlternateContent>
          <mc:Choice Requires="wps">
            <w:drawing>
              <wp:anchor distT="0" distB="0" distL="114300" distR="114300" simplePos="0" relativeHeight="251658240" behindDoc="0" locked="0" layoutInCell="1" allowOverlap="1" wp14:anchorId="6C258131" wp14:editId="75DA2052">
                <wp:simplePos x="0" y="0"/>
                <wp:positionH relativeFrom="column">
                  <wp:posOffset>184245</wp:posOffset>
                </wp:positionH>
                <wp:positionV relativeFrom="paragraph">
                  <wp:posOffset>187334</wp:posOffset>
                </wp:positionV>
                <wp:extent cx="5800298" cy="0"/>
                <wp:effectExtent l="0" t="0" r="0" b="0"/>
                <wp:wrapNone/>
                <wp:docPr id="4" name="Straight Connector 4"/>
                <wp:cNvGraphicFramePr/>
                <a:graphic xmlns:a="http://schemas.openxmlformats.org/drawingml/2006/main">
                  <a:graphicData uri="http://schemas.microsoft.com/office/word/2010/wordprocessingShape">
                    <wps:wsp>
                      <wps:cNvCnPr/>
                      <wps:spPr>
                        <a:xfrm>
                          <a:off x="0" y="0"/>
                          <a:ext cx="5800298" cy="0"/>
                        </a:xfrm>
                        <a:prstGeom prst="line">
                          <a:avLst/>
                        </a:prstGeom>
                        <a:ln w="15875">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arto="http://schemas.microsoft.com/office/word/2006/arto">
            <w:pict>
              <v:line w14:anchorId="75390C97" id="Straight Connector 4"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4.5pt,14.75pt" to="471.2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" strokecolor="black [3213]" strokeweight="1.25pt">
                <v:stroke joinstyle="miter"/>
              </v:line>
            </w:pict>
          </mc:Fallback>
        </mc:AlternateContent>
      </w:r>
      <w:r w:rsidRPr="001904D5">
        <w:rPr>
          <w:rFonts w:cstheme="minorHAnsi"/>
          <w:bCs/>
          <w:iCs/>
          <w:sz w:val="24"/>
          <w:szCs w:val="24"/>
        </w:rPr>
        <w:t xml:space="preserve"># of people with an asymptomatic </w:t>
      </w:r>
      <w:r w:rsidRPr="001904D5">
        <w:rPr>
          <w:rFonts w:cstheme="minorHAnsi"/>
          <w:color w:val="000000"/>
          <w:sz w:val="24"/>
          <w:szCs w:val="24"/>
        </w:rPr>
        <w:t>chlamydial</w:t>
      </w:r>
      <w:r w:rsidRPr="00150966">
        <w:rPr>
          <w:rFonts w:cstheme="minorHAnsi"/>
          <w:bCs/>
          <w:iCs/>
          <w:sz w:val="24"/>
          <w:szCs w:val="24"/>
        </w:rPr>
        <w:t xml:space="preserve"> or gonococcal infection with natural clearance</w:t>
      </w:r>
    </w:p>
    <w:p w14:paraId="4E64B448" w14:textId="77777777" w:rsidR="00607276" w:rsidRPr="001904D5" w:rsidRDefault="00607276" w:rsidP="00607276">
      <w:pPr>
        <w:spacing w:after="0" w:line="480" w:lineRule="auto"/>
        <w:jc w:val="center"/>
        <w:rPr>
          <w:rFonts w:cstheme="minorHAnsi"/>
          <w:bCs/>
          <w:iCs/>
          <w:sz w:val="24"/>
          <w:szCs w:val="24"/>
        </w:rPr>
      </w:pPr>
      <w:r w:rsidRPr="001904D5">
        <w:rPr>
          <w:rFonts w:cstheme="minorHAnsi"/>
          <w:bCs/>
          <w:iCs/>
          <w:sz w:val="24"/>
          <w:szCs w:val="24"/>
        </w:rPr>
        <w:t>Total person-time contributed</w:t>
      </w:r>
    </w:p>
    <w:p w14:paraId="08650620" w14:textId="77777777" w:rsidR="00607276" w:rsidRPr="001904D5" w:rsidRDefault="00607276" w:rsidP="00607276">
      <w:pPr>
        <w:spacing w:after="0" w:line="480" w:lineRule="auto"/>
        <w:rPr>
          <w:rFonts w:cstheme="minorHAnsi"/>
          <w:bCs/>
          <w:iCs/>
          <w:sz w:val="24"/>
          <w:szCs w:val="24"/>
        </w:rPr>
      </w:pPr>
    </w:p>
    <w:p w14:paraId="26A8B68B" w14:textId="5FE8524C" w:rsidR="00607276" w:rsidRPr="001904D5" w:rsidRDefault="00607276" w:rsidP="00607276">
      <w:pPr>
        <w:spacing w:after="0" w:line="480" w:lineRule="auto"/>
        <w:rPr>
          <w:rFonts w:cstheme="minorHAnsi"/>
          <w:color w:val="000000"/>
          <w:sz w:val="24"/>
          <w:szCs w:val="24"/>
        </w:rPr>
      </w:pPr>
      <w:r w:rsidRPr="001904D5">
        <w:rPr>
          <w:rFonts w:cstheme="minorHAnsi"/>
          <w:bCs/>
          <w:iCs/>
          <w:sz w:val="24"/>
          <w:szCs w:val="24"/>
        </w:rPr>
        <w:t xml:space="preserve">For chlamydia, non-parametric bootstrapping techniques were used to </w:t>
      </w:r>
      <w:r w:rsidRPr="001904D5">
        <w:rPr>
          <w:rFonts w:cstheme="minorHAnsi"/>
          <w:sz w:val="24"/>
          <w:szCs w:val="24"/>
        </w:rPr>
        <w:t xml:space="preserve">resample data from the literature to </w:t>
      </w:r>
      <w:r w:rsidRPr="001904D5">
        <w:rPr>
          <w:rFonts w:cstheme="minorHAnsi"/>
          <w:bCs/>
          <w:iCs/>
          <w:sz w:val="24"/>
          <w:szCs w:val="24"/>
        </w:rPr>
        <w:t xml:space="preserve">generate distributions of the time to natural clearance (10,000 trials), and as a result, </w:t>
      </w:r>
      <w:r w:rsidRPr="001904D5">
        <w:rPr>
          <w:rFonts w:cstheme="minorHAnsi"/>
          <w:sz w:val="24"/>
          <w:szCs w:val="24"/>
        </w:rPr>
        <w:t>uncertainty estimates (25</w:t>
      </w:r>
      <w:r w:rsidRPr="001904D5">
        <w:rPr>
          <w:rFonts w:cstheme="minorHAnsi"/>
          <w:sz w:val="24"/>
          <w:szCs w:val="24"/>
          <w:vertAlign w:val="superscript"/>
        </w:rPr>
        <w:t>th</w:t>
      </w:r>
      <w:r w:rsidRPr="001904D5">
        <w:rPr>
          <w:rFonts w:cstheme="minorHAnsi"/>
          <w:sz w:val="24"/>
          <w:szCs w:val="24"/>
        </w:rPr>
        <w:t xml:space="preserve"> and 75</w:t>
      </w:r>
      <w:r w:rsidRPr="001904D5">
        <w:rPr>
          <w:rFonts w:cstheme="minorHAnsi"/>
          <w:sz w:val="24"/>
          <w:szCs w:val="24"/>
          <w:vertAlign w:val="superscript"/>
        </w:rPr>
        <w:t>th</w:t>
      </w:r>
      <w:r w:rsidRPr="001904D5">
        <w:rPr>
          <w:rFonts w:cstheme="minorHAnsi"/>
          <w:sz w:val="24"/>
          <w:szCs w:val="24"/>
        </w:rPr>
        <w:t xml:space="preserve"> percentiles) around that estimate. This yielded a sample of 131 men and 601 women, with a total person time of 19.8 person-years for men and 251.3 person-years for women.</w:t>
      </w:r>
      <w:r w:rsidR="006C53E2" w:rsidRPr="001904D5">
        <w:rPr>
          <w:rFonts w:cstheme="minorHAnsi"/>
          <w:sz w:val="24"/>
          <w:szCs w:val="24"/>
        </w:rPr>
        <w:t xml:space="preserve"> (1</w:t>
      </w:r>
      <w:r w:rsidR="00760970">
        <w:rPr>
          <w:rFonts w:cstheme="minorHAnsi"/>
          <w:sz w:val="24"/>
          <w:szCs w:val="24"/>
        </w:rPr>
        <w:t>1</w:t>
      </w:r>
      <w:r w:rsidR="006C53E2" w:rsidRPr="001904D5">
        <w:rPr>
          <w:rFonts w:cstheme="minorHAnsi"/>
          <w:sz w:val="24"/>
          <w:szCs w:val="24"/>
        </w:rPr>
        <w:t>-</w:t>
      </w:r>
      <w:r w:rsidR="00760970">
        <w:rPr>
          <w:rFonts w:cstheme="minorHAnsi"/>
          <w:sz w:val="24"/>
          <w:szCs w:val="24"/>
        </w:rPr>
        <w:t>19</w:t>
      </w:r>
      <w:r w:rsidR="006C53E2" w:rsidRPr="001904D5">
        <w:rPr>
          <w:rFonts w:cstheme="minorHAnsi"/>
          <w:sz w:val="24"/>
          <w:szCs w:val="24"/>
        </w:rPr>
        <w:t>)</w:t>
      </w:r>
      <w:r w:rsidR="00650135" w:rsidRPr="001904D5">
        <w:rPr>
          <w:rFonts w:cstheme="minorHAnsi"/>
          <w:sz w:val="24"/>
          <w:szCs w:val="24"/>
        </w:rPr>
        <w:t xml:space="preserve"> </w:t>
      </w:r>
      <w:r w:rsidRPr="001904D5">
        <w:rPr>
          <w:rFonts w:cstheme="minorHAnsi"/>
          <w:sz w:val="24"/>
          <w:szCs w:val="24"/>
        </w:rPr>
        <w:t>For gonorrhea in women, data were based on nucleic acid amplification testing (NAATs) and only included a sample of 16 women with a total person-</w:t>
      </w:r>
      <w:r w:rsidRPr="001904D5">
        <w:rPr>
          <w:rFonts w:cstheme="minorHAnsi"/>
          <w:sz w:val="24"/>
          <w:szCs w:val="24"/>
        </w:rPr>
        <w:lastRenderedPageBreak/>
        <w:t>time of 1.26 person-years.</w:t>
      </w:r>
      <w:r w:rsidR="006C53E2" w:rsidRPr="001904D5">
        <w:rPr>
          <w:rFonts w:cstheme="minorHAnsi"/>
          <w:sz w:val="24"/>
          <w:szCs w:val="24"/>
        </w:rPr>
        <w:t xml:space="preserve"> (</w:t>
      </w:r>
      <w:r w:rsidR="00AE2E27">
        <w:rPr>
          <w:rFonts w:cstheme="minorHAnsi"/>
          <w:sz w:val="24"/>
          <w:szCs w:val="24"/>
        </w:rPr>
        <w:t>20</w:t>
      </w:r>
      <w:r w:rsidR="006C53E2" w:rsidRPr="001904D5">
        <w:rPr>
          <w:rFonts w:cstheme="minorHAnsi"/>
          <w:sz w:val="24"/>
          <w:szCs w:val="24"/>
        </w:rPr>
        <w:t>)</w:t>
      </w:r>
      <w:r w:rsidRPr="001904D5">
        <w:rPr>
          <w:rFonts w:cstheme="minorHAnsi"/>
          <w:sz w:val="24"/>
          <w:szCs w:val="24"/>
        </w:rPr>
        <w:t xml:space="preserve"> </w:t>
      </w:r>
      <w:r w:rsidRPr="001904D5">
        <w:rPr>
          <w:rFonts w:eastAsia="Times New Roman"/>
          <w:sz w:val="24"/>
          <w:szCs w:val="24"/>
        </w:rPr>
        <w:t>We found gonococcal natural clearance data for men only in studies conducted in 1974 and both were based on culture, Gram stain, or fluorescent antibody tests.</w:t>
      </w:r>
      <w:r w:rsidR="006C53E2" w:rsidRPr="001904D5">
        <w:rPr>
          <w:rFonts w:eastAsia="Times New Roman"/>
          <w:sz w:val="24"/>
          <w:szCs w:val="24"/>
        </w:rPr>
        <w:t xml:space="preserve"> (2</w:t>
      </w:r>
      <w:r w:rsidR="006D1581">
        <w:rPr>
          <w:rFonts w:eastAsia="Times New Roman"/>
          <w:sz w:val="24"/>
          <w:szCs w:val="24"/>
        </w:rPr>
        <w:t>1</w:t>
      </w:r>
      <w:r w:rsidR="006C53E2" w:rsidRPr="001904D5">
        <w:rPr>
          <w:rFonts w:eastAsia="Times New Roman"/>
          <w:sz w:val="24"/>
          <w:szCs w:val="24"/>
        </w:rPr>
        <w:t>, 2</w:t>
      </w:r>
      <w:r w:rsidR="006D1581">
        <w:rPr>
          <w:rFonts w:eastAsia="Times New Roman"/>
          <w:sz w:val="24"/>
          <w:szCs w:val="24"/>
        </w:rPr>
        <w:t>2</w:t>
      </w:r>
      <w:r w:rsidR="006C53E2" w:rsidRPr="001904D5">
        <w:rPr>
          <w:rFonts w:eastAsia="Times New Roman"/>
          <w:sz w:val="24"/>
          <w:szCs w:val="24"/>
        </w:rPr>
        <w:t>)</w:t>
      </w:r>
      <w:r w:rsidR="00F57F44" w:rsidRPr="001904D5">
        <w:rPr>
          <w:rFonts w:eastAsia="Times New Roman"/>
          <w:sz w:val="24"/>
          <w:szCs w:val="24"/>
        </w:rPr>
        <w:t xml:space="preserve"> </w:t>
      </w:r>
      <w:r w:rsidRPr="001904D5">
        <w:rPr>
          <w:rFonts w:eastAsia="Times New Roman"/>
          <w:sz w:val="24"/>
          <w:szCs w:val="24"/>
        </w:rPr>
        <w:t xml:space="preserve">Given the use of outdated and less sensitive diagnostic test technology in these studies, we used the more recent study based on NAAT testing done solely in women and made the assumption (based on expert opinion) that men naturally clear gonorrhea twice as fast as women. Because of the small sample size, rather than bootstrapping, we sampled from a gamma distribution with resulting median </w:t>
      </w:r>
      <w:proofErr w:type="gramStart"/>
      <w:r w:rsidRPr="001904D5">
        <w:rPr>
          <w:rFonts w:eastAsia="Times New Roman"/>
          <w:sz w:val="24"/>
          <w:szCs w:val="24"/>
        </w:rPr>
        <w:t>similar to</w:t>
      </w:r>
      <w:proofErr w:type="gramEnd"/>
      <w:r w:rsidRPr="001904D5">
        <w:rPr>
          <w:rFonts w:eastAsia="Times New Roman"/>
          <w:sz w:val="24"/>
          <w:szCs w:val="24"/>
        </w:rPr>
        <w:t xml:space="preserve"> the study.</w:t>
      </w:r>
      <w:r w:rsidR="006C53E2" w:rsidRPr="001904D5">
        <w:rPr>
          <w:rFonts w:eastAsia="Times New Roman"/>
          <w:sz w:val="24"/>
          <w:szCs w:val="24"/>
        </w:rPr>
        <w:t xml:space="preserve"> (</w:t>
      </w:r>
      <w:r w:rsidR="006D1581">
        <w:rPr>
          <w:rFonts w:eastAsia="Times New Roman"/>
          <w:sz w:val="24"/>
          <w:szCs w:val="24"/>
        </w:rPr>
        <w:t>20</w:t>
      </w:r>
      <w:r w:rsidR="006C53E2" w:rsidRPr="001904D5">
        <w:rPr>
          <w:rFonts w:eastAsia="Times New Roman"/>
          <w:sz w:val="24"/>
          <w:szCs w:val="24"/>
        </w:rPr>
        <w:t>)</w:t>
      </w:r>
      <w:r w:rsidR="00301163" w:rsidRPr="001904D5">
        <w:rPr>
          <w:rFonts w:eastAsia="Times New Roman"/>
          <w:sz w:val="24"/>
          <w:szCs w:val="24"/>
        </w:rPr>
        <w:t xml:space="preserve"> </w:t>
      </w:r>
      <w:r w:rsidRPr="001904D5">
        <w:rPr>
          <w:rFonts w:eastAsia="Times New Roman"/>
          <w:sz w:val="24"/>
          <w:szCs w:val="24"/>
        </w:rPr>
        <w:t xml:space="preserve">Specifically, </w:t>
      </w:r>
      <w:r w:rsidRPr="001904D5">
        <w:rPr>
          <w:rFonts w:cstheme="minorHAnsi"/>
          <w:sz w:val="24"/>
          <w:szCs w:val="24"/>
        </w:rPr>
        <w:t xml:space="preserve">we sampled from a gamma distribution with shape parameter=16 and rate=16/4.089 to generate a distribution of natural clearance in women; for men, we assumed the rate was twice as fast, also sampling from a gamma distribution. Based on these inputs, estimates of the rate of and days to natural clearance for chlamydia and </w:t>
      </w:r>
      <w:r w:rsidRPr="001904D5">
        <w:rPr>
          <w:rFonts w:cstheme="minorHAnsi"/>
          <w:color w:val="000000"/>
          <w:sz w:val="24"/>
          <w:szCs w:val="24"/>
        </w:rPr>
        <w:t xml:space="preserve">gonorrhea, by sex, are presented in </w:t>
      </w:r>
      <w:r w:rsidRPr="001904D5">
        <w:rPr>
          <w:rFonts w:cstheme="minorHAnsi"/>
          <w:b/>
          <w:bCs/>
          <w:sz w:val="24"/>
          <w:szCs w:val="24"/>
        </w:rPr>
        <w:t>Supplemental</w:t>
      </w:r>
      <w:r w:rsidRPr="001904D5">
        <w:rPr>
          <w:rFonts w:cstheme="minorHAnsi"/>
          <w:sz w:val="24"/>
          <w:szCs w:val="24"/>
        </w:rPr>
        <w:t xml:space="preserve"> </w:t>
      </w:r>
      <w:r w:rsidRPr="001904D5">
        <w:rPr>
          <w:rFonts w:cstheme="minorHAnsi"/>
          <w:b/>
          <w:bCs/>
          <w:color w:val="000000"/>
          <w:sz w:val="24"/>
          <w:szCs w:val="24"/>
        </w:rPr>
        <w:t xml:space="preserve">Table </w:t>
      </w:r>
      <w:r w:rsidR="00FC0099" w:rsidRPr="001904D5">
        <w:rPr>
          <w:rFonts w:cstheme="minorHAnsi"/>
          <w:b/>
          <w:bCs/>
          <w:color w:val="000000"/>
          <w:sz w:val="24"/>
          <w:szCs w:val="24"/>
        </w:rPr>
        <w:t>1</w:t>
      </w:r>
      <w:r w:rsidRPr="001904D5">
        <w:rPr>
          <w:rFonts w:cstheme="minorHAnsi"/>
          <w:color w:val="000000"/>
          <w:sz w:val="24"/>
          <w:szCs w:val="24"/>
        </w:rPr>
        <w:t>.</w:t>
      </w:r>
    </w:p>
    <w:p w14:paraId="271EC683" w14:textId="30DD677F" w:rsidR="00607276" w:rsidRPr="001904D5" w:rsidRDefault="00607276" w:rsidP="00607276">
      <w:pPr>
        <w:rPr>
          <w:rFonts w:cstheme="minorHAnsi"/>
          <w:b/>
          <w:bCs/>
          <w:sz w:val="24"/>
          <w:szCs w:val="24"/>
        </w:rPr>
      </w:pPr>
    </w:p>
    <w:p w14:paraId="62B266A8" w14:textId="3B96EDB5" w:rsidR="00607276" w:rsidRPr="001904D5" w:rsidRDefault="00607276" w:rsidP="00607276">
      <w:pPr>
        <w:spacing w:after="0" w:line="480" w:lineRule="auto"/>
        <w:rPr>
          <w:rFonts w:cstheme="minorHAnsi"/>
          <w:color w:val="000000"/>
          <w:sz w:val="24"/>
          <w:szCs w:val="24"/>
        </w:rPr>
      </w:pPr>
      <w:r w:rsidRPr="001904D5">
        <w:rPr>
          <w:rFonts w:cstheme="minorHAnsi"/>
          <w:b/>
          <w:bCs/>
          <w:sz w:val="24"/>
          <w:szCs w:val="24"/>
        </w:rPr>
        <w:t>Supplemental</w:t>
      </w:r>
      <w:r w:rsidRPr="001904D5">
        <w:rPr>
          <w:rFonts w:cstheme="minorHAnsi"/>
          <w:sz w:val="24"/>
          <w:szCs w:val="24"/>
        </w:rPr>
        <w:t xml:space="preserve"> </w:t>
      </w:r>
      <w:r w:rsidRPr="001904D5">
        <w:rPr>
          <w:b/>
          <w:bCs/>
          <w:sz w:val="24"/>
          <w:szCs w:val="24"/>
        </w:rPr>
        <w:t xml:space="preserve">Table </w:t>
      </w:r>
      <w:r w:rsidR="00FC0099" w:rsidRPr="001904D5">
        <w:rPr>
          <w:b/>
          <w:bCs/>
          <w:sz w:val="24"/>
          <w:szCs w:val="24"/>
        </w:rPr>
        <w:t>1</w:t>
      </w:r>
      <w:r w:rsidRPr="001904D5">
        <w:rPr>
          <w:b/>
          <w:bCs/>
          <w:sz w:val="24"/>
          <w:szCs w:val="24"/>
        </w:rPr>
        <w:t xml:space="preserve">. </w:t>
      </w:r>
      <w:r w:rsidRPr="001904D5">
        <w:rPr>
          <w:sz w:val="24"/>
          <w:szCs w:val="24"/>
        </w:rPr>
        <w:t xml:space="preserve">Rate of and days to natural clearance of untreated </w:t>
      </w:r>
      <w:r w:rsidRPr="001904D5">
        <w:rPr>
          <w:i/>
          <w:iCs/>
          <w:sz w:val="24"/>
          <w:szCs w:val="24"/>
        </w:rPr>
        <w:t>Chlamydia trachomatis</w:t>
      </w:r>
      <w:r w:rsidRPr="001904D5">
        <w:rPr>
          <w:sz w:val="24"/>
          <w:szCs w:val="24"/>
        </w:rPr>
        <w:t xml:space="preserve"> and </w:t>
      </w:r>
      <w:r w:rsidRPr="001904D5">
        <w:rPr>
          <w:i/>
          <w:iCs/>
          <w:sz w:val="24"/>
          <w:szCs w:val="24"/>
        </w:rPr>
        <w:t>Neisseria gonorrhoeae</w:t>
      </w:r>
      <w:r w:rsidRPr="001904D5">
        <w:rPr>
          <w:sz w:val="24"/>
          <w:szCs w:val="24"/>
        </w:rPr>
        <w:t>, by sex.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tblGrid>
      <w:tr w:rsidR="00607276" w:rsidRPr="001904D5" w14:paraId="61F0AC4D" w14:textId="77777777" w:rsidTr="000A5E57">
        <w:trPr>
          <w:jc w:val="center"/>
        </w:trPr>
        <w:tc>
          <w:tcPr>
            <w:tcW w:w="1870" w:type="dxa"/>
            <w:tcBorders>
              <w:top w:val="single" w:sz="12" w:space="0" w:color="auto"/>
            </w:tcBorders>
            <w:vAlign w:val="center"/>
          </w:tcPr>
          <w:p w14:paraId="7119176A" w14:textId="77777777" w:rsidR="00607276" w:rsidRPr="001904D5" w:rsidRDefault="00607276" w:rsidP="000A5E57">
            <w:pPr>
              <w:rPr>
                <w:rFonts w:cstheme="minorHAnsi"/>
                <w:bCs/>
                <w:iCs/>
                <w:sz w:val="20"/>
                <w:szCs w:val="20"/>
              </w:rPr>
            </w:pPr>
          </w:p>
        </w:tc>
        <w:tc>
          <w:tcPr>
            <w:tcW w:w="1870" w:type="dxa"/>
            <w:vMerge w:val="restart"/>
            <w:tcBorders>
              <w:top w:val="single" w:sz="12" w:space="0" w:color="auto"/>
            </w:tcBorders>
            <w:vAlign w:val="center"/>
          </w:tcPr>
          <w:p w14:paraId="6AA43C49" w14:textId="77777777" w:rsidR="00607276" w:rsidRPr="001904D5" w:rsidRDefault="00607276" w:rsidP="000A5E57">
            <w:pPr>
              <w:rPr>
                <w:rFonts w:cstheme="minorHAnsi"/>
                <w:b/>
                <w:iCs/>
                <w:sz w:val="20"/>
                <w:szCs w:val="20"/>
              </w:rPr>
            </w:pPr>
            <w:r w:rsidRPr="001904D5">
              <w:rPr>
                <w:rFonts w:cstheme="minorHAnsi"/>
                <w:b/>
                <w:iCs/>
                <w:sz w:val="20"/>
                <w:szCs w:val="20"/>
              </w:rPr>
              <w:t>Sex</w:t>
            </w:r>
          </w:p>
        </w:tc>
        <w:tc>
          <w:tcPr>
            <w:tcW w:w="3740" w:type="dxa"/>
            <w:gridSpan w:val="2"/>
            <w:tcBorders>
              <w:top w:val="single" w:sz="12" w:space="0" w:color="auto"/>
              <w:bottom w:val="single" w:sz="2" w:space="0" w:color="auto"/>
            </w:tcBorders>
            <w:vAlign w:val="center"/>
          </w:tcPr>
          <w:p w14:paraId="39A9A33F" w14:textId="77777777" w:rsidR="00607276" w:rsidRPr="001904D5" w:rsidRDefault="00607276" w:rsidP="000A5E57">
            <w:pPr>
              <w:jc w:val="center"/>
              <w:rPr>
                <w:rFonts w:cstheme="minorHAnsi"/>
                <w:b/>
                <w:iCs/>
                <w:sz w:val="20"/>
                <w:szCs w:val="20"/>
              </w:rPr>
            </w:pPr>
            <w:r w:rsidRPr="001904D5">
              <w:rPr>
                <w:rFonts w:cstheme="minorHAnsi"/>
                <w:b/>
                <w:iCs/>
                <w:sz w:val="20"/>
                <w:szCs w:val="20"/>
              </w:rPr>
              <w:t>Median</w:t>
            </w:r>
          </w:p>
          <w:p w14:paraId="3BE882DA" w14:textId="77777777" w:rsidR="00607276" w:rsidRPr="001904D5" w:rsidRDefault="00607276" w:rsidP="000A5E57">
            <w:pPr>
              <w:jc w:val="center"/>
              <w:rPr>
                <w:rFonts w:cstheme="minorHAnsi"/>
                <w:b/>
                <w:iCs/>
                <w:sz w:val="20"/>
                <w:szCs w:val="20"/>
              </w:rPr>
            </w:pPr>
            <w:r w:rsidRPr="001904D5">
              <w:rPr>
                <w:rFonts w:cstheme="minorHAnsi"/>
                <w:b/>
                <w:iCs/>
                <w:sz w:val="20"/>
                <w:szCs w:val="20"/>
              </w:rPr>
              <w:t>(25</w:t>
            </w:r>
            <w:r w:rsidRPr="001904D5">
              <w:rPr>
                <w:rFonts w:cstheme="minorHAnsi"/>
                <w:b/>
                <w:iCs/>
                <w:sz w:val="20"/>
                <w:szCs w:val="20"/>
                <w:vertAlign w:val="superscript"/>
              </w:rPr>
              <w:t>th</w:t>
            </w:r>
            <w:r w:rsidRPr="001904D5">
              <w:rPr>
                <w:rFonts w:cstheme="minorHAnsi"/>
                <w:b/>
              </w:rPr>
              <w:t>–</w:t>
            </w:r>
            <w:r w:rsidRPr="001904D5">
              <w:rPr>
                <w:rFonts w:cstheme="minorHAnsi"/>
                <w:b/>
                <w:iCs/>
                <w:sz w:val="20"/>
                <w:szCs w:val="20"/>
              </w:rPr>
              <w:t>75</w:t>
            </w:r>
            <w:r w:rsidRPr="001904D5">
              <w:rPr>
                <w:rFonts w:cstheme="minorHAnsi"/>
                <w:b/>
                <w:iCs/>
                <w:sz w:val="20"/>
                <w:szCs w:val="20"/>
                <w:vertAlign w:val="superscript"/>
              </w:rPr>
              <w:t>th</w:t>
            </w:r>
            <w:r w:rsidRPr="001904D5">
              <w:rPr>
                <w:rFonts w:cstheme="minorHAnsi"/>
                <w:b/>
                <w:iCs/>
                <w:sz w:val="20"/>
                <w:szCs w:val="20"/>
              </w:rPr>
              <w:t xml:space="preserve"> percentile)</w:t>
            </w:r>
          </w:p>
        </w:tc>
      </w:tr>
      <w:tr w:rsidR="00607276" w:rsidRPr="001904D5" w14:paraId="42CDD58B" w14:textId="77777777" w:rsidTr="000A5E57">
        <w:trPr>
          <w:jc w:val="center"/>
        </w:trPr>
        <w:tc>
          <w:tcPr>
            <w:tcW w:w="1870" w:type="dxa"/>
            <w:tcBorders>
              <w:bottom w:val="single" w:sz="12" w:space="0" w:color="auto"/>
            </w:tcBorders>
            <w:vAlign w:val="center"/>
          </w:tcPr>
          <w:p w14:paraId="690EEE45" w14:textId="77777777" w:rsidR="00607276" w:rsidRPr="001904D5" w:rsidRDefault="00607276" w:rsidP="000A5E57">
            <w:pPr>
              <w:rPr>
                <w:rFonts w:cstheme="minorHAnsi"/>
                <w:bCs/>
                <w:iCs/>
                <w:sz w:val="20"/>
                <w:szCs w:val="20"/>
              </w:rPr>
            </w:pPr>
          </w:p>
        </w:tc>
        <w:tc>
          <w:tcPr>
            <w:tcW w:w="1870" w:type="dxa"/>
            <w:vMerge/>
            <w:tcBorders>
              <w:bottom w:val="single" w:sz="12" w:space="0" w:color="auto"/>
            </w:tcBorders>
            <w:vAlign w:val="center"/>
          </w:tcPr>
          <w:p w14:paraId="7CD7C745" w14:textId="77777777" w:rsidR="00607276" w:rsidRPr="001904D5" w:rsidRDefault="00607276" w:rsidP="000A5E57">
            <w:pPr>
              <w:rPr>
                <w:rFonts w:cstheme="minorHAnsi"/>
                <w:bCs/>
                <w:iCs/>
                <w:sz w:val="20"/>
                <w:szCs w:val="20"/>
              </w:rPr>
            </w:pPr>
          </w:p>
        </w:tc>
        <w:tc>
          <w:tcPr>
            <w:tcW w:w="1870" w:type="dxa"/>
            <w:tcBorders>
              <w:top w:val="single" w:sz="2" w:space="0" w:color="auto"/>
              <w:bottom w:val="single" w:sz="12" w:space="0" w:color="auto"/>
            </w:tcBorders>
            <w:vAlign w:val="center"/>
          </w:tcPr>
          <w:p w14:paraId="7D04AC15" w14:textId="77777777" w:rsidR="00607276" w:rsidRPr="001904D5" w:rsidRDefault="00607276" w:rsidP="000A5E57">
            <w:pPr>
              <w:jc w:val="center"/>
              <w:rPr>
                <w:rFonts w:cstheme="minorHAnsi"/>
                <w:b/>
                <w:iCs/>
                <w:sz w:val="20"/>
                <w:szCs w:val="20"/>
              </w:rPr>
            </w:pPr>
            <w:r w:rsidRPr="001904D5">
              <w:rPr>
                <w:rFonts w:cstheme="minorHAnsi"/>
                <w:b/>
                <w:iCs/>
                <w:sz w:val="20"/>
                <w:szCs w:val="20"/>
              </w:rPr>
              <w:t>Rate</w:t>
            </w:r>
          </w:p>
        </w:tc>
        <w:tc>
          <w:tcPr>
            <w:tcW w:w="1870" w:type="dxa"/>
            <w:tcBorders>
              <w:top w:val="single" w:sz="2" w:space="0" w:color="auto"/>
              <w:bottom w:val="single" w:sz="12" w:space="0" w:color="auto"/>
            </w:tcBorders>
            <w:vAlign w:val="center"/>
          </w:tcPr>
          <w:p w14:paraId="374A91F3" w14:textId="77777777" w:rsidR="00607276" w:rsidRPr="001904D5" w:rsidRDefault="00607276" w:rsidP="000A5E57">
            <w:pPr>
              <w:jc w:val="center"/>
              <w:rPr>
                <w:rFonts w:cstheme="minorHAnsi"/>
                <w:b/>
                <w:iCs/>
                <w:sz w:val="20"/>
                <w:szCs w:val="20"/>
              </w:rPr>
            </w:pPr>
            <w:r w:rsidRPr="001904D5">
              <w:rPr>
                <w:rFonts w:cstheme="minorHAnsi"/>
                <w:b/>
                <w:iCs/>
                <w:sz w:val="20"/>
                <w:szCs w:val="20"/>
              </w:rPr>
              <w:t>Days</w:t>
            </w:r>
          </w:p>
        </w:tc>
      </w:tr>
      <w:tr w:rsidR="00607276" w:rsidRPr="001904D5" w14:paraId="5F559189" w14:textId="77777777" w:rsidTr="000A5E57">
        <w:trPr>
          <w:jc w:val="center"/>
        </w:trPr>
        <w:tc>
          <w:tcPr>
            <w:tcW w:w="1870" w:type="dxa"/>
            <w:vMerge w:val="restart"/>
            <w:tcBorders>
              <w:top w:val="single" w:sz="12" w:space="0" w:color="auto"/>
            </w:tcBorders>
            <w:vAlign w:val="center"/>
          </w:tcPr>
          <w:p w14:paraId="6D860D29" w14:textId="77777777" w:rsidR="00607276" w:rsidRPr="001904D5" w:rsidRDefault="00607276" w:rsidP="000A5E57">
            <w:pPr>
              <w:rPr>
                <w:rFonts w:cstheme="minorHAnsi"/>
                <w:b/>
                <w:iCs/>
                <w:sz w:val="20"/>
                <w:szCs w:val="20"/>
              </w:rPr>
            </w:pPr>
            <w:r w:rsidRPr="001904D5">
              <w:rPr>
                <w:rFonts w:cstheme="minorHAnsi"/>
                <w:b/>
                <w:iCs/>
                <w:sz w:val="20"/>
                <w:szCs w:val="20"/>
              </w:rPr>
              <w:t>Chlamydia</w:t>
            </w:r>
          </w:p>
        </w:tc>
        <w:tc>
          <w:tcPr>
            <w:tcW w:w="1870" w:type="dxa"/>
            <w:tcBorders>
              <w:top w:val="single" w:sz="12" w:space="0" w:color="auto"/>
            </w:tcBorders>
            <w:vAlign w:val="center"/>
          </w:tcPr>
          <w:p w14:paraId="4AB3CBAA" w14:textId="77777777" w:rsidR="00607276" w:rsidRPr="001904D5" w:rsidRDefault="00607276" w:rsidP="000A5E57">
            <w:pPr>
              <w:rPr>
                <w:rFonts w:cstheme="minorHAnsi"/>
                <w:b/>
                <w:iCs/>
                <w:sz w:val="20"/>
                <w:szCs w:val="20"/>
              </w:rPr>
            </w:pPr>
            <w:r w:rsidRPr="001904D5">
              <w:rPr>
                <w:rFonts w:cstheme="minorHAnsi"/>
                <w:b/>
                <w:iCs/>
                <w:sz w:val="20"/>
                <w:szCs w:val="20"/>
              </w:rPr>
              <w:t>Men</w:t>
            </w:r>
          </w:p>
        </w:tc>
        <w:tc>
          <w:tcPr>
            <w:tcW w:w="1870" w:type="dxa"/>
            <w:tcBorders>
              <w:top w:val="single" w:sz="12" w:space="0" w:color="auto"/>
            </w:tcBorders>
            <w:vAlign w:val="center"/>
          </w:tcPr>
          <w:p w14:paraId="6E9916A4" w14:textId="77777777" w:rsidR="00607276" w:rsidRPr="001904D5" w:rsidRDefault="00607276" w:rsidP="000A5E57">
            <w:pPr>
              <w:jc w:val="center"/>
              <w:rPr>
                <w:rFonts w:cstheme="minorHAnsi"/>
                <w:bCs/>
                <w:iCs/>
                <w:sz w:val="20"/>
                <w:szCs w:val="20"/>
              </w:rPr>
            </w:pPr>
            <w:r w:rsidRPr="001904D5">
              <w:rPr>
                <w:rFonts w:cstheme="minorHAnsi"/>
                <w:bCs/>
                <w:iCs/>
                <w:sz w:val="20"/>
                <w:szCs w:val="20"/>
              </w:rPr>
              <w:t>1.01</w:t>
            </w:r>
          </w:p>
          <w:p w14:paraId="02068246" w14:textId="77777777" w:rsidR="00607276" w:rsidRPr="001904D5" w:rsidRDefault="00607276" w:rsidP="000A5E57">
            <w:pPr>
              <w:jc w:val="center"/>
              <w:rPr>
                <w:rFonts w:cstheme="minorHAnsi"/>
                <w:bCs/>
                <w:iCs/>
                <w:sz w:val="20"/>
                <w:szCs w:val="20"/>
              </w:rPr>
            </w:pPr>
            <w:r w:rsidRPr="001904D5">
              <w:rPr>
                <w:rFonts w:cstheme="minorHAnsi"/>
                <w:bCs/>
                <w:iCs/>
                <w:sz w:val="20"/>
                <w:szCs w:val="20"/>
              </w:rPr>
              <w:t xml:space="preserve">(0.86–1.16) </w:t>
            </w:r>
          </w:p>
        </w:tc>
        <w:tc>
          <w:tcPr>
            <w:tcW w:w="1870" w:type="dxa"/>
            <w:tcBorders>
              <w:top w:val="single" w:sz="12" w:space="0" w:color="auto"/>
            </w:tcBorders>
            <w:vAlign w:val="center"/>
          </w:tcPr>
          <w:p w14:paraId="4EC07219" w14:textId="77777777" w:rsidR="00607276" w:rsidRPr="001904D5" w:rsidRDefault="00607276" w:rsidP="000A5E57">
            <w:pPr>
              <w:jc w:val="center"/>
              <w:rPr>
                <w:rFonts w:cstheme="minorHAnsi"/>
                <w:bCs/>
                <w:iCs/>
                <w:sz w:val="20"/>
                <w:szCs w:val="20"/>
              </w:rPr>
            </w:pPr>
            <w:r w:rsidRPr="001904D5">
              <w:rPr>
                <w:rFonts w:cstheme="minorHAnsi"/>
                <w:bCs/>
                <w:iCs/>
                <w:sz w:val="20"/>
                <w:szCs w:val="20"/>
              </w:rPr>
              <w:t>361.35</w:t>
            </w:r>
          </w:p>
          <w:p w14:paraId="47E60B8A" w14:textId="77777777" w:rsidR="00607276" w:rsidRPr="001904D5" w:rsidRDefault="00607276" w:rsidP="000A5E57">
            <w:pPr>
              <w:jc w:val="center"/>
              <w:rPr>
                <w:rFonts w:cstheme="minorHAnsi"/>
                <w:bCs/>
                <w:iCs/>
                <w:sz w:val="20"/>
                <w:szCs w:val="20"/>
              </w:rPr>
            </w:pPr>
            <w:r w:rsidRPr="001904D5">
              <w:rPr>
                <w:rFonts w:cstheme="minorHAnsi"/>
                <w:bCs/>
                <w:iCs/>
                <w:sz w:val="20"/>
                <w:szCs w:val="20"/>
              </w:rPr>
              <w:t>(313.90–423.40)</w:t>
            </w:r>
          </w:p>
        </w:tc>
      </w:tr>
      <w:tr w:rsidR="00607276" w:rsidRPr="001904D5" w14:paraId="52FF03BA" w14:textId="77777777" w:rsidTr="000A5E57">
        <w:trPr>
          <w:jc w:val="center"/>
        </w:trPr>
        <w:tc>
          <w:tcPr>
            <w:tcW w:w="1870" w:type="dxa"/>
            <w:vMerge/>
            <w:vAlign w:val="center"/>
          </w:tcPr>
          <w:p w14:paraId="70BD1DE4" w14:textId="77777777" w:rsidR="00607276" w:rsidRPr="001904D5" w:rsidRDefault="00607276" w:rsidP="000A5E57">
            <w:pPr>
              <w:rPr>
                <w:rFonts w:cstheme="minorHAnsi"/>
                <w:b/>
                <w:iCs/>
                <w:sz w:val="20"/>
                <w:szCs w:val="20"/>
              </w:rPr>
            </w:pPr>
          </w:p>
        </w:tc>
        <w:tc>
          <w:tcPr>
            <w:tcW w:w="1870" w:type="dxa"/>
            <w:vAlign w:val="center"/>
          </w:tcPr>
          <w:p w14:paraId="2230ADF7" w14:textId="77777777" w:rsidR="00607276" w:rsidRPr="001904D5" w:rsidRDefault="00607276" w:rsidP="000A5E57">
            <w:pPr>
              <w:rPr>
                <w:rFonts w:cstheme="minorHAnsi"/>
                <w:b/>
                <w:iCs/>
                <w:sz w:val="20"/>
                <w:szCs w:val="20"/>
              </w:rPr>
            </w:pPr>
            <w:r w:rsidRPr="001904D5">
              <w:rPr>
                <w:rFonts w:cstheme="minorHAnsi"/>
                <w:b/>
                <w:iCs/>
                <w:sz w:val="20"/>
                <w:szCs w:val="20"/>
              </w:rPr>
              <w:t>Women</w:t>
            </w:r>
          </w:p>
        </w:tc>
        <w:tc>
          <w:tcPr>
            <w:tcW w:w="1870" w:type="dxa"/>
            <w:vAlign w:val="center"/>
          </w:tcPr>
          <w:p w14:paraId="408E9334" w14:textId="77777777" w:rsidR="00607276" w:rsidRPr="001904D5" w:rsidRDefault="00607276" w:rsidP="000A5E57">
            <w:pPr>
              <w:jc w:val="center"/>
              <w:rPr>
                <w:rFonts w:cstheme="minorHAnsi"/>
                <w:bCs/>
                <w:iCs/>
                <w:sz w:val="20"/>
                <w:szCs w:val="20"/>
              </w:rPr>
            </w:pPr>
            <w:r w:rsidRPr="001904D5">
              <w:rPr>
                <w:rFonts w:cstheme="minorHAnsi"/>
                <w:bCs/>
                <w:iCs/>
                <w:sz w:val="20"/>
                <w:szCs w:val="20"/>
              </w:rPr>
              <w:t>0.92</w:t>
            </w:r>
          </w:p>
          <w:p w14:paraId="38B20DC1" w14:textId="77777777" w:rsidR="00607276" w:rsidRPr="001904D5" w:rsidRDefault="00607276" w:rsidP="000A5E57">
            <w:pPr>
              <w:jc w:val="center"/>
              <w:rPr>
                <w:rFonts w:cstheme="minorHAnsi"/>
                <w:bCs/>
                <w:iCs/>
                <w:sz w:val="20"/>
                <w:szCs w:val="20"/>
              </w:rPr>
            </w:pPr>
            <w:r w:rsidRPr="001904D5">
              <w:rPr>
                <w:rFonts w:cstheme="minorHAnsi"/>
                <w:bCs/>
                <w:iCs/>
                <w:sz w:val="20"/>
                <w:szCs w:val="20"/>
              </w:rPr>
              <w:t>(0.87–0.97)</w:t>
            </w:r>
          </w:p>
        </w:tc>
        <w:tc>
          <w:tcPr>
            <w:tcW w:w="1870" w:type="dxa"/>
            <w:vAlign w:val="center"/>
          </w:tcPr>
          <w:p w14:paraId="21C6731E" w14:textId="77777777" w:rsidR="00607276" w:rsidRPr="001904D5" w:rsidRDefault="00607276" w:rsidP="000A5E57">
            <w:pPr>
              <w:jc w:val="center"/>
              <w:rPr>
                <w:rFonts w:cstheme="minorHAnsi"/>
                <w:bCs/>
                <w:iCs/>
                <w:sz w:val="20"/>
                <w:szCs w:val="20"/>
              </w:rPr>
            </w:pPr>
            <w:r w:rsidRPr="001904D5">
              <w:rPr>
                <w:rFonts w:cstheme="minorHAnsi"/>
                <w:bCs/>
                <w:iCs/>
                <w:sz w:val="20"/>
                <w:szCs w:val="20"/>
              </w:rPr>
              <w:t>397.85</w:t>
            </w:r>
          </w:p>
          <w:p w14:paraId="553AFCBF" w14:textId="77777777" w:rsidR="00607276" w:rsidRPr="001904D5" w:rsidRDefault="00607276" w:rsidP="000A5E57">
            <w:pPr>
              <w:jc w:val="center"/>
              <w:rPr>
                <w:rFonts w:cstheme="minorHAnsi"/>
                <w:bCs/>
                <w:iCs/>
                <w:sz w:val="20"/>
                <w:szCs w:val="20"/>
              </w:rPr>
            </w:pPr>
            <w:r w:rsidRPr="001904D5">
              <w:rPr>
                <w:rFonts w:cstheme="minorHAnsi"/>
                <w:bCs/>
                <w:iCs/>
                <w:sz w:val="20"/>
                <w:szCs w:val="20"/>
              </w:rPr>
              <w:t>(375.95–416.10)</w:t>
            </w:r>
          </w:p>
        </w:tc>
      </w:tr>
      <w:tr w:rsidR="00607276" w:rsidRPr="001904D5" w14:paraId="53856897" w14:textId="77777777" w:rsidTr="000A5E57">
        <w:trPr>
          <w:jc w:val="center"/>
        </w:trPr>
        <w:tc>
          <w:tcPr>
            <w:tcW w:w="1870" w:type="dxa"/>
            <w:vMerge w:val="restart"/>
            <w:vAlign w:val="center"/>
          </w:tcPr>
          <w:p w14:paraId="1C3ED655" w14:textId="77777777" w:rsidR="00607276" w:rsidRPr="001904D5" w:rsidRDefault="00607276" w:rsidP="000A5E57">
            <w:pPr>
              <w:rPr>
                <w:rFonts w:cstheme="minorHAnsi"/>
                <w:b/>
                <w:iCs/>
                <w:sz w:val="20"/>
                <w:szCs w:val="20"/>
              </w:rPr>
            </w:pPr>
            <w:r w:rsidRPr="001904D5">
              <w:rPr>
                <w:rFonts w:cstheme="minorHAnsi"/>
                <w:b/>
                <w:iCs/>
                <w:sz w:val="20"/>
                <w:szCs w:val="20"/>
              </w:rPr>
              <w:t>Gonorrhea</w:t>
            </w:r>
          </w:p>
        </w:tc>
        <w:tc>
          <w:tcPr>
            <w:tcW w:w="1870" w:type="dxa"/>
            <w:vAlign w:val="center"/>
          </w:tcPr>
          <w:p w14:paraId="31B1339A" w14:textId="77777777" w:rsidR="00607276" w:rsidRPr="001904D5" w:rsidRDefault="00607276" w:rsidP="000A5E57">
            <w:pPr>
              <w:rPr>
                <w:rFonts w:cstheme="minorHAnsi"/>
                <w:b/>
                <w:iCs/>
                <w:sz w:val="20"/>
                <w:szCs w:val="20"/>
              </w:rPr>
            </w:pPr>
            <w:r w:rsidRPr="001904D5">
              <w:rPr>
                <w:rFonts w:cstheme="minorHAnsi"/>
                <w:b/>
                <w:iCs/>
                <w:sz w:val="20"/>
                <w:szCs w:val="20"/>
              </w:rPr>
              <w:t>Men</w:t>
            </w:r>
          </w:p>
        </w:tc>
        <w:tc>
          <w:tcPr>
            <w:tcW w:w="1870" w:type="dxa"/>
            <w:vAlign w:val="center"/>
          </w:tcPr>
          <w:p w14:paraId="761561AD" w14:textId="77777777" w:rsidR="00607276" w:rsidRPr="001904D5" w:rsidRDefault="00607276" w:rsidP="000A5E57">
            <w:pPr>
              <w:jc w:val="center"/>
              <w:rPr>
                <w:rFonts w:cstheme="minorHAnsi"/>
                <w:bCs/>
                <w:iCs/>
                <w:sz w:val="20"/>
                <w:szCs w:val="20"/>
              </w:rPr>
            </w:pPr>
            <w:r w:rsidRPr="001904D5">
              <w:rPr>
                <w:rFonts w:cstheme="minorHAnsi"/>
                <w:bCs/>
                <w:iCs/>
                <w:sz w:val="20"/>
                <w:szCs w:val="20"/>
              </w:rPr>
              <w:t>8.02</w:t>
            </w:r>
          </w:p>
          <w:p w14:paraId="2D5115AC" w14:textId="77777777" w:rsidR="00607276" w:rsidRPr="001904D5" w:rsidRDefault="00607276" w:rsidP="000A5E57">
            <w:pPr>
              <w:jc w:val="center"/>
              <w:rPr>
                <w:rFonts w:cstheme="minorHAnsi"/>
                <w:bCs/>
                <w:iCs/>
                <w:sz w:val="20"/>
                <w:szCs w:val="20"/>
              </w:rPr>
            </w:pPr>
            <w:r w:rsidRPr="001904D5">
              <w:rPr>
                <w:rFonts w:cstheme="minorHAnsi"/>
                <w:bCs/>
                <w:iCs/>
                <w:sz w:val="20"/>
                <w:szCs w:val="20"/>
              </w:rPr>
              <w:t>(6.71–9.47)</w:t>
            </w:r>
          </w:p>
        </w:tc>
        <w:tc>
          <w:tcPr>
            <w:tcW w:w="1870" w:type="dxa"/>
            <w:vAlign w:val="center"/>
          </w:tcPr>
          <w:p w14:paraId="1AB929A6" w14:textId="77777777" w:rsidR="00607276" w:rsidRPr="001904D5" w:rsidRDefault="00607276" w:rsidP="000A5E57">
            <w:pPr>
              <w:jc w:val="center"/>
              <w:rPr>
                <w:rFonts w:cstheme="minorHAnsi"/>
                <w:bCs/>
                <w:iCs/>
                <w:sz w:val="20"/>
                <w:szCs w:val="20"/>
              </w:rPr>
            </w:pPr>
            <w:r w:rsidRPr="001904D5">
              <w:rPr>
                <w:rFonts w:cstheme="minorHAnsi"/>
                <w:bCs/>
                <w:iCs/>
                <w:sz w:val="20"/>
                <w:szCs w:val="20"/>
              </w:rPr>
              <w:t>45.54</w:t>
            </w:r>
          </w:p>
          <w:p w14:paraId="4C7F87B1" w14:textId="77777777" w:rsidR="00607276" w:rsidRPr="001904D5" w:rsidRDefault="00607276" w:rsidP="000A5E57">
            <w:pPr>
              <w:jc w:val="center"/>
              <w:rPr>
                <w:rFonts w:cstheme="minorHAnsi"/>
                <w:bCs/>
                <w:iCs/>
                <w:sz w:val="20"/>
                <w:szCs w:val="20"/>
              </w:rPr>
            </w:pPr>
            <w:r w:rsidRPr="001904D5">
              <w:rPr>
                <w:rFonts w:cstheme="minorHAnsi"/>
                <w:bCs/>
                <w:iCs/>
                <w:sz w:val="20"/>
                <w:szCs w:val="20"/>
              </w:rPr>
              <w:t>(38.56–54.44)</w:t>
            </w:r>
          </w:p>
        </w:tc>
      </w:tr>
      <w:tr w:rsidR="00607276" w:rsidRPr="001904D5" w14:paraId="3DDD1BF9" w14:textId="77777777" w:rsidTr="000A5E57">
        <w:trPr>
          <w:jc w:val="center"/>
        </w:trPr>
        <w:tc>
          <w:tcPr>
            <w:tcW w:w="1870" w:type="dxa"/>
            <w:vMerge/>
            <w:tcBorders>
              <w:bottom w:val="single" w:sz="12" w:space="0" w:color="auto"/>
            </w:tcBorders>
            <w:vAlign w:val="center"/>
          </w:tcPr>
          <w:p w14:paraId="400A5A26" w14:textId="77777777" w:rsidR="00607276" w:rsidRPr="001904D5" w:rsidRDefault="00607276" w:rsidP="000A5E57">
            <w:pPr>
              <w:rPr>
                <w:rFonts w:cstheme="minorHAnsi"/>
                <w:b/>
                <w:iCs/>
                <w:sz w:val="20"/>
                <w:szCs w:val="20"/>
              </w:rPr>
            </w:pPr>
          </w:p>
        </w:tc>
        <w:tc>
          <w:tcPr>
            <w:tcW w:w="1870" w:type="dxa"/>
            <w:tcBorders>
              <w:bottom w:val="single" w:sz="12" w:space="0" w:color="auto"/>
            </w:tcBorders>
            <w:vAlign w:val="center"/>
          </w:tcPr>
          <w:p w14:paraId="68312FDB" w14:textId="77777777" w:rsidR="00607276" w:rsidRPr="001904D5" w:rsidRDefault="00607276" w:rsidP="000A5E57">
            <w:pPr>
              <w:rPr>
                <w:rFonts w:cstheme="minorHAnsi"/>
                <w:b/>
                <w:iCs/>
                <w:sz w:val="20"/>
                <w:szCs w:val="20"/>
              </w:rPr>
            </w:pPr>
            <w:r w:rsidRPr="001904D5">
              <w:rPr>
                <w:rFonts w:cstheme="minorHAnsi"/>
                <w:b/>
                <w:iCs/>
                <w:sz w:val="20"/>
                <w:szCs w:val="20"/>
              </w:rPr>
              <w:t>Women</w:t>
            </w:r>
          </w:p>
        </w:tc>
        <w:tc>
          <w:tcPr>
            <w:tcW w:w="1870" w:type="dxa"/>
            <w:tcBorders>
              <w:bottom w:val="single" w:sz="12" w:space="0" w:color="auto"/>
            </w:tcBorders>
            <w:vAlign w:val="center"/>
          </w:tcPr>
          <w:p w14:paraId="4205CC69" w14:textId="77777777" w:rsidR="00607276" w:rsidRPr="001904D5" w:rsidRDefault="00607276" w:rsidP="000A5E57">
            <w:pPr>
              <w:jc w:val="center"/>
              <w:rPr>
                <w:rFonts w:cstheme="minorHAnsi"/>
                <w:bCs/>
                <w:iCs/>
                <w:sz w:val="20"/>
                <w:szCs w:val="20"/>
              </w:rPr>
            </w:pPr>
            <w:r w:rsidRPr="001904D5">
              <w:rPr>
                <w:rFonts w:cstheme="minorHAnsi"/>
                <w:bCs/>
                <w:iCs/>
                <w:sz w:val="20"/>
                <w:szCs w:val="20"/>
              </w:rPr>
              <w:t>4.00</w:t>
            </w:r>
          </w:p>
          <w:p w14:paraId="737FA88A" w14:textId="77777777" w:rsidR="00607276" w:rsidRPr="001904D5" w:rsidRDefault="00607276" w:rsidP="000A5E57">
            <w:pPr>
              <w:jc w:val="center"/>
              <w:rPr>
                <w:rFonts w:cstheme="minorHAnsi"/>
                <w:bCs/>
                <w:iCs/>
                <w:sz w:val="20"/>
                <w:szCs w:val="20"/>
              </w:rPr>
            </w:pPr>
            <w:r w:rsidRPr="001904D5">
              <w:rPr>
                <w:rFonts w:cstheme="minorHAnsi"/>
                <w:bCs/>
                <w:iCs/>
                <w:sz w:val="20"/>
                <w:szCs w:val="20"/>
              </w:rPr>
              <w:t>(3.36–4.72)</w:t>
            </w:r>
          </w:p>
        </w:tc>
        <w:tc>
          <w:tcPr>
            <w:tcW w:w="1870" w:type="dxa"/>
            <w:tcBorders>
              <w:bottom w:val="single" w:sz="12" w:space="0" w:color="auto"/>
            </w:tcBorders>
            <w:vAlign w:val="center"/>
          </w:tcPr>
          <w:p w14:paraId="0371B285" w14:textId="77777777" w:rsidR="00607276" w:rsidRPr="001904D5" w:rsidRDefault="00607276" w:rsidP="000A5E57">
            <w:pPr>
              <w:jc w:val="center"/>
              <w:rPr>
                <w:rFonts w:cstheme="minorHAnsi"/>
                <w:bCs/>
                <w:iCs/>
                <w:sz w:val="20"/>
                <w:szCs w:val="20"/>
              </w:rPr>
            </w:pPr>
            <w:r w:rsidRPr="001904D5">
              <w:rPr>
                <w:rFonts w:cstheme="minorHAnsi"/>
                <w:bCs/>
                <w:iCs/>
                <w:sz w:val="20"/>
                <w:szCs w:val="20"/>
              </w:rPr>
              <w:t>91.25</w:t>
            </w:r>
          </w:p>
          <w:p w14:paraId="3BDA3983" w14:textId="77777777" w:rsidR="00607276" w:rsidRPr="001904D5" w:rsidRDefault="00607276" w:rsidP="000A5E57">
            <w:pPr>
              <w:jc w:val="center"/>
              <w:rPr>
                <w:rFonts w:cstheme="minorHAnsi"/>
                <w:bCs/>
                <w:iCs/>
                <w:sz w:val="20"/>
                <w:szCs w:val="20"/>
              </w:rPr>
            </w:pPr>
            <w:r w:rsidRPr="001904D5">
              <w:rPr>
                <w:rFonts w:cstheme="minorHAnsi"/>
                <w:bCs/>
                <w:iCs/>
                <w:sz w:val="20"/>
                <w:szCs w:val="20"/>
              </w:rPr>
              <w:t>(77.33–108.63)</w:t>
            </w:r>
          </w:p>
        </w:tc>
      </w:tr>
    </w:tbl>
    <w:p w14:paraId="668700F0" w14:textId="77777777" w:rsidR="00607276" w:rsidRPr="001904D5" w:rsidRDefault="00607276" w:rsidP="00607276">
      <w:pPr>
        <w:spacing w:after="0" w:line="480" w:lineRule="auto"/>
        <w:rPr>
          <w:rFonts w:cstheme="minorHAnsi"/>
          <w:bCs/>
          <w:iCs/>
          <w:sz w:val="24"/>
          <w:szCs w:val="24"/>
        </w:rPr>
      </w:pPr>
    </w:p>
    <w:p w14:paraId="643BDD17" w14:textId="77777777" w:rsidR="00607276" w:rsidRPr="001904D5" w:rsidRDefault="00607276" w:rsidP="00607276">
      <w:pPr>
        <w:spacing w:after="0" w:line="480" w:lineRule="auto"/>
        <w:ind w:firstLine="360"/>
        <w:rPr>
          <w:sz w:val="24"/>
          <w:szCs w:val="24"/>
        </w:rPr>
      </w:pPr>
      <w:r w:rsidRPr="001904D5">
        <w:rPr>
          <w:rFonts w:cstheme="minorHAnsi"/>
          <w:sz w:val="24"/>
          <w:szCs w:val="24"/>
        </w:rPr>
        <w:t xml:space="preserve">There were a variety of assumptions that factored into these calculations. First, we assumed that the natural clearance of </w:t>
      </w:r>
      <w:r w:rsidRPr="001904D5">
        <w:rPr>
          <w:rFonts w:cstheme="minorHAnsi"/>
          <w:color w:val="000000"/>
          <w:sz w:val="24"/>
          <w:szCs w:val="24"/>
        </w:rPr>
        <w:t>chlamydia</w:t>
      </w:r>
      <w:r w:rsidRPr="001904D5">
        <w:rPr>
          <w:rFonts w:cstheme="minorHAnsi"/>
          <w:sz w:val="24"/>
          <w:szCs w:val="24"/>
        </w:rPr>
        <w:t xml:space="preserve"> or gonorrhea did not vary by age group or by anatomic </w:t>
      </w:r>
      <w:r w:rsidRPr="001904D5">
        <w:rPr>
          <w:rFonts w:cstheme="minorHAnsi"/>
          <w:sz w:val="24"/>
          <w:szCs w:val="24"/>
        </w:rPr>
        <w:lastRenderedPageBreak/>
        <w:t xml:space="preserve">site of infection (urogenital vs. extragenital). Second, we assumed a constant exponential clearance rate from available data. Third, we assumed that the subjects </w:t>
      </w:r>
      <w:r w:rsidRPr="001904D5">
        <w:rPr>
          <w:sz w:val="24"/>
          <w:szCs w:val="24"/>
        </w:rPr>
        <w:t xml:space="preserve">in the studies from which these numbers were drawn were representative of all people infected with </w:t>
      </w:r>
      <w:r w:rsidRPr="001904D5">
        <w:rPr>
          <w:rFonts w:cstheme="minorHAnsi"/>
          <w:color w:val="000000"/>
          <w:sz w:val="24"/>
          <w:szCs w:val="24"/>
        </w:rPr>
        <w:t>chlamydia</w:t>
      </w:r>
      <w:r w:rsidRPr="001904D5">
        <w:rPr>
          <w:sz w:val="24"/>
          <w:szCs w:val="24"/>
        </w:rPr>
        <w:t xml:space="preserve"> and/or </w:t>
      </w:r>
      <w:r w:rsidRPr="001904D5">
        <w:rPr>
          <w:rFonts w:cstheme="minorHAnsi"/>
          <w:sz w:val="24"/>
          <w:szCs w:val="24"/>
        </w:rPr>
        <w:t>gonorrhea</w:t>
      </w:r>
      <w:r w:rsidRPr="001904D5">
        <w:rPr>
          <w:sz w:val="24"/>
          <w:szCs w:val="24"/>
        </w:rPr>
        <w:t xml:space="preserve">. Lastly, we assumed that the diagnostic tests used in different studies to identify </w:t>
      </w:r>
      <w:r w:rsidRPr="001904D5">
        <w:rPr>
          <w:rFonts w:cstheme="minorHAnsi"/>
          <w:color w:val="000000"/>
          <w:sz w:val="24"/>
          <w:szCs w:val="24"/>
        </w:rPr>
        <w:t>chlamydial</w:t>
      </w:r>
      <w:r w:rsidRPr="001904D5">
        <w:rPr>
          <w:sz w:val="24"/>
          <w:szCs w:val="24"/>
        </w:rPr>
        <w:t xml:space="preserve"> infections had equal sensitivity and specificity, eliminating the introduction of any possible diagnostic biases between studies.</w:t>
      </w:r>
    </w:p>
    <w:p w14:paraId="679D9664" w14:textId="77777777" w:rsidR="00607276" w:rsidRPr="001904D5" w:rsidRDefault="00607276" w:rsidP="00607276">
      <w:pPr>
        <w:spacing w:after="0" w:line="480" w:lineRule="auto"/>
        <w:ind w:firstLine="360"/>
        <w:rPr>
          <w:rFonts w:cstheme="minorHAnsi"/>
          <w:b/>
          <w:i/>
          <w:iCs/>
          <w:sz w:val="24"/>
          <w:szCs w:val="24"/>
          <w:u w:val="single"/>
        </w:rPr>
      </w:pPr>
    </w:p>
    <w:p w14:paraId="239F6EC5" w14:textId="77777777" w:rsidR="00607276" w:rsidRPr="001904D5" w:rsidRDefault="00607276" w:rsidP="00607276">
      <w:pPr>
        <w:spacing w:after="0" w:line="480" w:lineRule="auto"/>
        <w:rPr>
          <w:rFonts w:cstheme="minorHAnsi"/>
          <w:b/>
          <w:i/>
          <w:iCs/>
          <w:sz w:val="24"/>
          <w:szCs w:val="24"/>
        </w:rPr>
      </w:pPr>
      <w:r w:rsidRPr="001904D5">
        <w:rPr>
          <w:rFonts w:cstheme="minorHAnsi"/>
          <w:b/>
          <w:i/>
          <w:iCs/>
          <w:sz w:val="24"/>
          <w:szCs w:val="24"/>
        </w:rPr>
        <w:t>Rate of Symptomatic Treatment Seeking (</w:t>
      </w:r>
      <w:r w:rsidRPr="001904D5">
        <w:rPr>
          <w:rFonts w:cstheme="minorHAnsi"/>
          <w:b/>
          <w:i/>
          <w:iCs/>
          <w:sz w:val="28"/>
          <w:szCs w:val="28"/>
        </w:rPr>
        <w:t>τ</w:t>
      </w:r>
      <w:r w:rsidRPr="001904D5">
        <w:rPr>
          <w:rFonts w:cstheme="minorHAnsi"/>
          <w:b/>
          <w:i/>
          <w:iCs/>
          <w:sz w:val="24"/>
          <w:szCs w:val="24"/>
        </w:rPr>
        <w:t>)</w:t>
      </w:r>
    </w:p>
    <w:p w14:paraId="3B9E5C23" w14:textId="4881D3D1" w:rsidR="00BA4564" w:rsidRDefault="00607276" w:rsidP="00607276">
      <w:pPr>
        <w:spacing w:after="0" w:line="480" w:lineRule="auto"/>
        <w:ind w:firstLine="360"/>
        <w:rPr>
          <w:rFonts w:cstheme="minorHAnsi"/>
          <w:bCs/>
          <w:sz w:val="24"/>
          <w:szCs w:val="24"/>
        </w:rPr>
      </w:pPr>
      <w:r w:rsidRPr="001904D5">
        <w:rPr>
          <w:rFonts w:cstheme="minorHAnsi"/>
          <w:bCs/>
          <w:sz w:val="24"/>
          <w:szCs w:val="24"/>
        </w:rPr>
        <w:t>Among symptomatic people, we estimated the rate of seeking treatment as a function of multiple inputs. These included the probability of a person never seeking treatment (</w:t>
      </w:r>
      <w:r w:rsidRPr="001904D5">
        <w:rPr>
          <w:rFonts w:ascii="Symbol" w:hAnsi="Symbol" w:cstheme="minorHAnsi"/>
          <w:sz w:val="24"/>
          <w:szCs w:val="24"/>
        </w:rPr>
        <w:t>z</w:t>
      </w:r>
      <w:r w:rsidRPr="001904D5">
        <w:rPr>
          <w:rFonts w:cstheme="minorHAnsi"/>
          <w:bCs/>
          <w:sz w:val="24"/>
          <w:szCs w:val="24"/>
        </w:rPr>
        <w:t>), the time from infection acquisition to symptom onset (d</w:t>
      </w:r>
      <w:r w:rsidRPr="001904D5">
        <w:rPr>
          <w:rFonts w:cstheme="minorHAnsi"/>
          <w:bCs/>
          <w:sz w:val="24"/>
          <w:szCs w:val="24"/>
        </w:rPr>
        <w:softHyphen/>
      </w:r>
      <w:r w:rsidRPr="001904D5">
        <w:rPr>
          <w:rFonts w:cstheme="minorHAnsi"/>
          <w:bCs/>
          <w:sz w:val="24"/>
          <w:szCs w:val="24"/>
        </w:rPr>
        <w:softHyphen/>
      </w:r>
      <w:r w:rsidRPr="001904D5">
        <w:rPr>
          <w:rFonts w:cstheme="minorHAnsi"/>
          <w:bCs/>
          <w:sz w:val="24"/>
          <w:szCs w:val="24"/>
        </w:rPr>
        <w:softHyphen/>
      </w:r>
      <w:r w:rsidRPr="001904D5">
        <w:rPr>
          <w:rFonts w:cstheme="minorHAnsi"/>
          <w:bCs/>
          <w:sz w:val="24"/>
          <w:szCs w:val="24"/>
          <w:vertAlign w:val="subscript"/>
        </w:rPr>
        <w:t>1</w:t>
      </w:r>
      <w:r w:rsidRPr="001904D5">
        <w:rPr>
          <w:rFonts w:cstheme="minorHAnsi"/>
          <w:bCs/>
          <w:sz w:val="24"/>
          <w:szCs w:val="24"/>
        </w:rPr>
        <w:t>), and time from symptom onset to testing due to symptoms (d</w:t>
      </w:r>
      <w:r w:rsidRPr="001904D5">
        <w:rPr>
          <w:rFonts w:cstheme="minorHAnsi"/>
          <w:bCs/>
          <w:sz w:val="24"/>
          <w:szCs w:val="24"/>
          <w:vertAlign w:val="subscript"/>
        </w:rPr>
        <w:t>2</w:t>
      </w:r>
      <w:r w:rsidRPr="001904D5" w:rsidDel="00BA4564">
        <w:rPr>
          <w:rFonts w:cstheme="minorHAnsi"/>
          <w:bCs/>
          <w:sz w:val="24"/>
          <w:szCs w:val="24"/>
        </w:rPr>
        <w:t>).</w:t>
      </w:r>
      <w:r w:rsidR="00752714">
        <w:rPr>
          <w:rFonts w:cstheme="minorHAnsi"/>
          <w:bCs/>
          <w:sz w:val="24"/>
          <w:szCs w:val="24"/>
        </w:rPr>
        <w:t xml:space="preserve"> </w:t>
      </w:r>
      <w:r w:rsidRPr="001904D5">
        <w:rPr>
          <w:rFonts w:cstheme="minorHAnsi"/>
          <w:bCs/>
          <w:sz w:val="24"/>
          <w:szCs w:val="24"/>
        </w:rPr>
        <w:t xml:space="preserve">These were combined as: </w:t>
      </w:r>
      <w:r w:rsidRPr="001904D5">
        <w:rPr>
          <w:rFonts w:cstheme="minorHAnsi"/>
          <w:bCs/>
          <w:i/>
          <w:iCs/>
          <w:sz w:val="28"/>
          <w:szCs w:val="28"/>
        </w:rPr>
        <w:t>τ</w:t>
      </w:r>
      <w:r w:rsidRPr="001904D5">
        <w:rPr>
          <w:rFonts w:cstheme="minorHAnsi"/>
          <w:bCs/>
          <w:sz w:val="24"/>
          <w:szCs w:val="24"/>
        </w:rPr>
        <w:t>=(1-</w:t>
      </w:r>
      <w:r w:rsidRPr="001904D5">
        <w:rPr>
          <w:rFonts w:ascii="Symbol" w:hAnsi="Symbol" w:cstheme="minorHAnsi"/>
          <w:sz w:val="24"/>
          <w:szCs w:val="24"/>
        </w:rPr>
        <w:t xml:space="preserve"> z</w:t>
      </w:r>
      <w:r w:rsidRPr="001904D5">
        <w:rPr>
          <w:rFonts w:cstheme="minorHAnsi"/>
          <w:bCs/>
          <w:sz w:val="24"/>
          <w:szCs w:val="24"/>
        </w:rPr>
        <w:t>)/(d</w:t>
      </w:r>
      <w:r w:rsidRPr="001904D5">
        <w:rPr>
          <w:rFonts w:cstheme="minorHAnsi"/>
          <w:bCs/>
          <w:sz w:val="24"/>
          <w:szCs w:val="24"/>
          <w:vertAlign w:val="subscript"/>
        </w:rPr>
        <w:t>1</w:t>
      </w:r>
      <w:r w:rsidRPr="001904D5">
        <w:rPr>
          <w:rFonts w:cstheme="minorHAnsi"/>
          <w:bCs/>
          <w:sz w:val="24"/>
          <w:szCs w:val="24"/>
        </w:rPr>
        <w:t>+d</w:t>
      </w:r>
      <w:r w:rsidRPr="001904D5">
        <w:rPr>
          <w:rFonts w:cstheme="minorHAnsi"/>
          <w:bCs/>
          <w:sz w:val="24"/>
          <w:szCs w:val="24"/>
          <w:vertAlign w:val="subscript"/>
        </w:rPr>
        <w:t>2</w:t>
      </w:r>
      <w:r w:rsidRPr="001904D5">
        <w:rPr>
          <w:rFonts w:cstheme="minorHAnsi"/>
          <w:bCs/>
          <w:sz w:val="24"/>
          <w:szCs w:val="24"/>
        </w:rPr>
        <w:t>)</w:t>
      </w:r>
      <w:r w:rsidR="00BA4564" w:rsidRPr="001904D5">
        <w:rPr>
          <w:rFonts w:cstheme="minorHAnsi"/>
          <w:bCs/>
          <w:sz w:val="24"/>
          <w:szCs w:val="24"/>
        </w:rPr>
        <w:t xml:space="preserve">. </w:t>
      </w:r>
      <w:r w:rsidR="00BA4564">
        <w:rPr>
          <w:rFonts w:cstheme="minorHAnsi"/>
          <w:bCs/>
          <w:sz w:val="24"/>
          <w:szCs w:val="24"/>
        </w:rPr>
        <w:t xml:space="preserve">Note that </w:t>
      </w:r>
      <w:r w:rsidR="00BA4564" w:rsidRPr="001904D5">
        <w:rPr>
          <w:rFonts w:ascii="Symbol" w:hAnsi="Symbol" w:cstheme="minorHAnsi"/>
          <w:sz w:val="24"/>
          <w:szCs w:val="24"/>
        </w:rPr>
        <w:t>z</w:t>
      </w:r>
      <w:r w:rsidR="00BA4564" w:rsidRPr="001904D5">
        <w:rPr>
          <w:rFonts w:cstheme="minorHAnsi"/>
          <w:bCs/>
          <w:sz w:val="24"/>
          <w:szCs w:val="24"/>
        </w:rPr>
        <w:t xml:space="preserve"> </w:t>
      </w:r>
      <w:r w:rsidR="00BA4564">
        <w:rPr>
          <w:rFonts w:cstheme="minorHAnsi"/>
          <w:bCs/>
          <w:sz w:val="24"/>
          <w:szCs w:val="24"/>
        </w:rPr>
        <w:t xml:space="preserve">does not represent the proportion of symptomatic infections that </w:t>
      </w:r>
      <w:r w:rsidR="00A03A7C">
        <w:rPr>
          <w:rFonts w:cstheme="minorHAnsi"/>
          <w:bCs/>
          <w:sz w:val="24"/>
          <w:szCs w:val="24"/>
        </w:rPr>
        <w:t xml:space="preserve">never </w:t>
      </w:r>
      <w:r w:rsidR="00BA4564">
        <w:rPr>
          <w:rFonts w:cstheme="minorHAnsi"/>
          <w:bCs/>
          <w:sz w:val="24"/>
          <w:szCs w:val="24"/>
        </w:rPr>
        <w:t>receive treatment, as this would be given by (</w:t>
      </w:r>
      <w:r w:rsidR="00BA4564" w:rsidRPr="009E3EE8">
        <w:rPr>
          <w:rFonts w:ascii="Symbol" w:hAnsi="Symbol" w:cstheme="minorHAnsi"/>
          <w:bCs/>
          <w:sz w:val="24"/>
          <w:szCs w:val="24"/>
        </w:rPr>
        <w:t>s</w:t>
      </w:r>
      <w:r w:rsidR="00BA4564">
        <w:rPr>
          <w:rFonts w:cstheme="minorHAnsi"/>
          <w:bCs/>
          <w:sz w:val="24"/>
          <w:szCs w:val="24"/>
        </w:rPr>
        <w:t>+</w:t>
      </w:r>
      <w:r w:rsidR="00BA4564" w:rsidRPr="009E3EE8">
        <w:rPr>
          <w:rFonts w:ascii="Symbol" w:hAnsi="Symbol" w:cstheme="minorHAnsi"/>
          <w:bCs/>
          <w:sz w:val="24"/>
          <w:szCs w:val="24"/>
        </w:rPr>
        <w:t>t</w:t>
      </w:r>
      <w:r w:rsidR="00BA4564">
        <w:rPr>
          <w:rFonts w:cstheme="minorHAnsi"/>
          <w:bCs/>
          <w:sz w:val="24"/>
          <w:szCs w:val="24"/>
        </w:rPr>
        <w:t>)</w:t>
      </w:r>
      <w:proofErr w:type="gramStart"/>
      <w:r w:rsidR="00BA4564">
        <w:rPr>
          <w:rFonts w:cstheme="minorHAnsi"/>
          <w:bCs/>
          <w:sz w:val="24"/>
          <w:szCs w:val="24"/>
        </w:rPr>
        <w:t>/(</w:t>
      </w:r>
      <w:proofErr w:type="gramEnd"/>
      <w:r w:rsidR="00BA4564" w:rsidRPr="009E3EE8">
        <w:rPr>
          <w:rFonts w:ascii="Symbol" w:hAnsi="Symbol" w:cstheme="minorHAnsi"/>
          <w:bCs/>
          <w:sz w:val="24"/>
          <w:szCs w:val="24"/>
        </w:rPr>
        <w:t>s</w:t>
      </w:r>
      <w:r w:rsidR="00BA4564">
        <w:rPr>
          <w:rFonts w:cstheme="minorHAnsi"/>
          <w:bCs/>
          <w:sz w:val="24"/>
          <w:szCs w:val="24"/>
        </w:rPr>
        <w:t>+</w:t>
      </w:r>
      <w:r w:rsidR="00BA4564" w:rsidRPr="009E3EE8">
        <w:rPr>
          <w:rFonts w:ascii="Symbol" w:hAnsi="Symbol" w:cstheme="minorHAnsi"/>
          <w:bCs/>
          <w:sz w:val="24"/>
          <w:szCs w:val="24"/>
        </w:rPr>
        <w:t>t</w:t>
      </w:r>
      <w:r w:rsidR="00BA4564">
        <w:rPr>
          <w:rFonts w:ascii="Symbol" w:hAnsi="Symbol" w:cstheme="minorHAnsi"/>
          <w:bCs/>
          <w:sz w:val="24"/>
          <w:szCs w:val="24"/>
        </w:rPr>
        <w:t>+y</w:t>
      </w:r>
      <w:r w:rsidR="00BA4564">
        <w:rPr>
          <w:rFonts w:cstheme="minorHAnsi"/>
          <w:bCs/>
          <w:sz w:val="24"/>
          <w:szCs w:val="24"/>
        </w:rPr>
        <w:t xml:space="preserve">). </w:t>
      </w:r>
    </w:p>
    <w:p w14:paraId="36693962" w14:textId="37A7CDF8" w:rsidR="00607276" w:rsidRPr="001904D5" w:rsidRDefault="00607276" w:rsidP="00607276">
      <w:pPr>
        <w:spacing w:after="0" w:line="480" w:lineRule="auto"/>
        <w:ind w:firstLine="360"/>
        <w:rPr>
          <w:rFonts w:cstheme="minorHAnsi"/>
          <w:sz w:val="24"/>
          <w:szCs w:val="24"/>
        </w:rPr>
      </w:pPr>
      <w:r w:rsidRPr="001904D5">
        <w:rPr>
          <w:rFonts w:cstheme="minorHAnsi"/>
          <w:bCs/>
          <w:sz w:val="24"/>
          <w:szCs w:val="24"/>
        </w:rPr>
        <w:t>We used estimates from the literature for incubation period to estimate d</w:t>
      </w:r>
      <w:r w:rsidRPr="001904D5">
        <w:rPr>
          <w:rFonts w:cstheme="minorHAnsi"/>
          <w:bCs/>
          <w:sz w:val="24"/>
          <w:szCs w:val="24"/>
          <w:vertAlign w:val="subscript"/>
        </w:rPr>
        <w:t>1</w:t>
      </w:r>
      <w:r w:rsidRPr="001904D5">
        <w:rPr>
          <w:rFonts w:cstheme="minorHAnsi"/>
          <w:bCs/>
          <w:sz w:val="24"/>
          <w:szCs w:val="24"/>
        </w:rPr>
        <w:t>.</w:t>
      </w:r>
      <w:r w:rsidR="00E75B18" w:rsidRPr="001904D5">
        <w:rPr>
          <w:rFonts w:cstheme="minorHAnsi"/>
          <w:bCs/>
          <w:sz w:val="24"/>
          <w:szCs w:val="24"/>
        </w:rPr>
        <w:t xml:space="preserve"> (</w:t>
      </w:r>
      <w:r w:rsidR="006F36D9">
        <w:rPr>
          <w:rFonts w:cstheme="minorHAnsi"/>
          <w:bCs/>
          <w:sz w:val="24"/>
          <w:szCs w:val="24"/>
        </w:rPr>
        <w:t>23</w:t>
      </w:r>
      <w:r w:rsidR="00E75B18" w:rsidRPr="001904D5">
        <w:rPr>
          <w:rFonts w:cstheme="minorHAnsi"/>
          <w:bCs/>
          <w:sz w:val="24"/>
          <w:szCs w:val="24"/>
        </w:rPr>
        <w:t>)</w:t>
      </w:r>
      <w:r w:rsidR="00B40F1D" w:rsidRPr="001904D5">
        <w:rPr>
          <w:rFonts w:cstheme="minorHAnsi"/>
          <w:bCs/>
          <w:sz w:val="24"/>
          <w:szCs w:val="24"/>
        </w:rPr>
        <w:t xml:space="preserve"> </w:t>
      </w:r>
      <w:r w:rsidRPr="001904D5">
        <w:rPr>
          <w:rFonts w:cstheme="minorHAnsi"/>
          <w:bCs/>
          <w:sz w:val="24"/>
          <w:szCs w:val="24"/>
        </w:rPr>
        <w:t xml:space="preserve">For </w:t>
      </w:r>
      <w:r w:rsidRPr="001904D5">
        <w:rPr>
          <w:rFonts w:cstheme="minorHAnsi"/>
          <w:sz w:val="24"/>
          <w:szCs w:val="24"/>
        </w:rPr>
        <w:t>chlamydia,</w:t>
      </w:r>
      <w:r w:rsidRPr="001904D5">
        <w:rPr>
          <w:rFonts w:cstheme="minorHAnsi"/>
          <w:bCs/>
          <w:sz w:val="24"/>
          <w:szCs w:val="24"/>
        </w:rPr>
        <w:t xml:space="preserve"> this was 13.8 days (Q1=9.7 days, Q3=17.9 days) in men and 25 days (Q1=17.4 days, Q3=32.2 days) in women. For gonorrhea, this was 6.2 days (Q1=4.3 days, Q3=8.1 days) in men and 11.2 days (Q1=7.9 days, Q3=14.6 days) in women. To estimate d</w:t>
      </w:r>
      <w:r w:rsidRPr="001904D5">
        <w:rPr>
          <w:rFonts w:cstheme="minorHAnsi"/>
          <w:bCs/>
          <w:sz w:val="24"/>
          <w:szCs w:val="24"/>
        </w:rPr>
        <w:softHyphen/>
      </w:r>
      <w:r w:rsidRPr="001904D5">
        <w:rPr>
          <w:rFonts w:cstheme="minorHAnsi"/>
          <w:bCs/>
          <w:sz w:val="24"/>
          <w:szCs w:val="24"/>
          <w:vertAlign w:val="subscript"/>
        </w:rPr>
        <w:t>2</w:t>
      </w:r>
      <w:r w:rsidRPr="001904D5">
        <w:rPr>
          <w:rFonts w:cstheme="minorHAnsi"/>
          <w:bCs/>
          <w:sz w:val="24"/>
          <w:szCs w:val="24"/>
        </w:rPr>
        <w:t xml:space="preserve">, we used unpublished data from the STD Surveillance Network </w:t>
      </w:r>
      <w:r w:rsidRPr="001904D5">
        <w:rPr>
          <w:rFonts w:cstheme="minorHAnsi"/>
          <w:sz w:val="24"/>
          <w:szCs w:val="24"/>
        </w:rPr>
        <w:t>(PS13-1306, 2016–2018)</w:t>
      </w:r>
      <w:r w:rsidRPr="001904D5">
        <w:rPr>
          <w:rFonts w:cstheme="minorHAnsi"/>
          <w:bCs/>
          <w:sz w:val="24"/>
          <w:szCs w:val="24"/>
        </w:rPr>
        <w:t xml:space="preserve"> summarizing time from symptoms to testing (among those who sought treatment); these data were specific to gonorrhea, but we assumed they also applied for chlamydia. In men, this was 6.5 days (Q1=6.4 days, Q3=6.6 days); in women, this was 13.9 days (Q1=13.7 days, Q3=14.1 days). To estimate </w:t>
      </w:r>
      <w:r w:rsidRPr="001904D5">
        <w:rPr>
          <w:rFonts w:cstheme="minorHAnsi"/>
          <w:bCs/>
          <w:sz w:val="24"/>
          <w:szCs w:val="24"/>
        </w:rPr>
        <w:lastRenderedPageBreak/>
        <w:t>(1-</w:t>
      </w:r>
      <w:r w:rsidRPr="001904D5">
        <w:rPr>
          <w:rFonts w:ascii="Symbol" w:hAnsi="Symbol" w:cstheme="minorHAnsi"/>
          <w:sz w:val="24"/>
          <w:szCs w:val="24"/>
        </w:rPr>
        <w:t xml:space="preserve"> z</w:t>
      </w:r>
      <w:r w:rsidRPr="001904D5">
        <w:rPr>
          <w:rFonts w:cstheme="minorHAnsi"/>
          <w:bCs/>
          <w:sz w:val="24"/>
          <w:szCs w:val="24"/>
        </w:rPr>
        <w:t xml:space="preserve">), we used data from Farley et al, which found that only a fraction of </w:t>
      </w:r>
      <w:r w:rsidR="007907FB">
        <w:rPr>
          <w:rFonts w:cstheme="minorHAnsi"/>
          <w:bCs/>
          <w:sz w:val="24"/>
          <w:szCs w:val="24"/>
        </w:rPr>
        <w:t xml:space="preserve">symptomatic </w:t>
      </w:r>
      <w:r w:rsidRPr="001904D5">
        <w:rPr>
          <w:rFonts w:cstheme="minorHAnsi"/>
          <w:bCs/>
          <w:sz w:val="24"/>
          <w:szCs w:val="24"/>
        </w:rPr>
        <w:t xml:space="preserve">people </w:t>
      </w:r>
      <w:r w:rsidR="007907FB">
        <w:rPr>
          <w:rFonts w:cstheme="minorHAnsi"/>
          <w:bCs/>
          <w:sz w:val="24"/>
          <w:szCs w:val="24"/>
        </w:rPr>
        <w:t>n</w:t>
      </w:r>
      <w:r w:rsidRPr="001904D5">
        <w:rPr>
          <w:rFonts w:cstheme="minorHAnsi"/>
          <w:bCs/>
          <w:sz w:val="24"/>
          <w:szCs w:val="24"/>
        </w:rPr>
        <w:t xml:space="preserve">ever sought treatment due to their urogenital symptoms: </w:t>
      </w:r>
      <w:r w:rsidR="007907FB">
        <w:rPr>
          <w:rFonts w:cstheme="minorHAnsi"/>
          <w:bCs/>
          <w:sz w:val="24"/>
          <w:szCs w:val="24"/>
        </w:rPr>
        <w:t>20.8</w:t>
      </w:r>
      <w:r w:rsidRPr="001904D5">
        <w:rPr>
          <w:rFonts w:cstheme="minorHAnsi"/>
          <w:bCs/>
          <w:sz w:val="24"/>
          <w:szCs w:val="24"/>
        </w:rPr>
        <w:t>% (Q1=</w:t>
      </w:r>
      <w:r w:rsidR="003658B4">
        <w:rPr>
          <w:rFonts w:cstheme="minorHAnsi"/>
          <w:bCs/>
          <w:sz w:val="24"/>
          <w:szCs w:val="24"/>
        </w:rPr>
        <w:t>19.3</w:t>
      </w:r>
      <w:r w:rsidRPr="001904D5">
        <w:rPr>
          <w:rFonts w:cstheme="minorHAnsi"/>
          <w:bCs/>
          <w:sz w:val="24"/>
          <w:szCs w:val="24"/>
        </w:rPr>
        <w:t>%, Q3=</w:t>
      </w:r>
      <w:r w:rsidR="003658B4">
        <w:rPr>
          <w:rFonts w:cstheme="minorHAnsi"/>
          <w:bCs/>
          <w:sz w:val="24"/>
          <w:szCs w:val="24"/>
        </w:rPr>
        <w:t>22.3</w:t>
      </w:r>
      <w:r w:rsidRPr="001904D5">
        <w:rPr>
          <w:rFonts w:cstheme="minorHAnsi"/>
          <w:bCs/>
          <w:sz w:val="24"/>
          <w:szCs w:val="24"/>
        </w:rPr>
        <w:t>%).</w:t>
      </w:r>
      <w:r w:rsidR="0084216B" w:rsidRPr="001904D5">
        <w:rPr>
          <w:rFonts w:cstheme="minorHAnsi"/>
          <w:bCs/>
          <w:sz w:val="24"/>
          <w:szCs w:val="24"/>
        </w:rPr>
        <w:t xml:space="preserve"> </w:t>
      </w:r>
      <w:r w:rsidR="006C53E2" w:rsidRPr="001904D5">
        <w:rPr>
          <w:rFonts w:cstheme="minorHAnsi"/>
          <w:bCs/>
          <w:sz w:val="24"/>
          <w:szCs w:val="24"/>
        </w:rPr>
        <w:t>(</w:t>
      </w:r>
      <w:r w:rsidR="006F36D9">
        <w:rPr>
          <w:rFonts w:cstheme="minorHAnsi"/>
          <w:bCs/>
          <w:sz w:val="24"/>
          <w:szCs w:val="24"/>
        </w:rPr>
        <w:t>4</w:t>
      </w:r>
      <w:r w:rsidR="006C53E2" w:rsidRPr="001904D5">
        <w:rPr>
          <w:rFonts w:cstheme="minorHAnsi"/>
          <w:bCs/>
          <w:sz w:val="24"/>
          <w:szCs w:val="24"/>
        </w:rPr>
        <w:t>)</w:t>
      </w:r>
      <w:r w:rsidRPr="001904D5">
        <w:rPr>
          <w:rFonts w:cstheme="minorHAnsi"/>
          <w:bCs/>
          <w:sz w:val="24"/>
          <w:szCs w:val="24"/>
        </w:rPr>
        <w:t xml:space="preserve"> </w:t>
      </w:r>
      <w:r w:rsidRPr="001904D5">
        <w:rPr>
          <w:rFonts w:cstheme="minorHAnsi"/>
          <w:bCs/>
          <w:iCs/>
          <w:sz w:val="24"/>
          <w:szCs w:val="24"/>
        </w:rPr>
        <w:t xml:space="preserve">Non-parametric bootstrapping techniques were used to </w:t>
      </w:r>
      <w:r w:rsidRPr="001904D5">
        <w:rPr>
          <w:rFonts w:cstheme="minorHAnsi"/>
          <w:sz w:val="24"/>
          <w:szCs w:val="24"/>
        </w:rPr>
        <w:t>resample data for d</w:t>
      </w:r>
      <w:r w:rsidRPr="001904D5">
        <w:rPr>
          <w:rFonts w:cstheme="minorHAnsi"/>
          <w:sz w:val="24"/>
          <w:szCs w:val="24"/>
          <w:vertAlign w:val="subscript"/>
        </w:rPr>
        <w:t xml:space="preserve">2, </w:t>
      </w:r>
      <w:r w:rsidRPr="001904D5">
        <w:rPr>
          <w:rFonts w:cstheme="minorHAnsi"/>
          <w:sz w:val="24"/>
          <w:szCs w:val="24"/>
        </w:rPr>
        <w:t>while uniform and beta distributions were sampled from for d</w:t>
      </w:r>
      <w:r w:rsidRPr="001904D5">
        <w:rPr>
          <w:rFonts w:cstheme="minorHAnsi"/>
          <w:sz w:val="24"/>
          <w:szCs w:val="24"/>
          <w:vertAlign w:val="subscript"/>
        </w:rPr>
        <w:t>1</w:t>
      </w:r>
      <w:r w:rsidRPr="001904D5">
        <w:rPr>
          <w:rFonts w:cstheme="minorHAnsi"/>
          <w:sz w:val="24"/>
          <w:szCs w:val="24"/>
        </w:rPr>
        <w:t xml:space="preserve"> and </w:t>
      </w:r>
      <w:r w:rsidRPr="001904D5">
        <w:rPr>
          <w:rFonts w:ascii="Symbol" w:hAnsi="Symbol" w:cstheme="minorHAnsi"/>
          <w:sz w:val="24"/>
          <w:szCs w:val="24"/>
        </w:rPr>
        <w:t>z</w:t>
      </w:r>
      <w:r w:rsidRPr="001904D5">
        <w:rPr>
          <w:rFonts w:cstheme="minorHAnsi"/>
          <w:sz w:val="24"/>
          <w:szCs w:val="24"/>
        </w:rPr>
        <w:t>. Based on these inputs and calculations, estimates of the rate (</w:t>
      </w:r>
      <w:proofErr w:type="gramStart"/>
      <w:r w:rsidRPr="001904D5">
        <w:rPr>
          <w:rFonts w:cstheme="minorHAnsi"/>
          <w:sz w:val="24"/>
          <w:szCs w:val="24"/>
        </w:rPr>
        <w:t>year</w:t>
      </w:r>
      <w:r w:rsidRPr="001904D5">
        <w:rPr>
          <w:rFonts w:cstheme="minorHAnsi"/>
          <w:sz w:val="24"/>
          <w:szCs w:val="24"/>
          <w:vertAlign w:val="superscript"/>
        </w:rPr>
        <w:t>-1</w:t>
      </w:r>
      <w:proofErr w:type="gramEnd"/>
      <w:r w:rsidRPr="001904D5">
        <w:rPr>
          <w:rFonts w:cstheme="minorHAnsi"/>
          <w:sz w:val="24"/>
          <w:szCs w:val="24"/>
        </w:rPr>
        <w:t xml:space="preserve">) of and days to symptomatic treatment seeking for chlamydia and </w:t>
      </w:r>
      <w:r w:rsidRPr="001904D5">
        <w:rPr>
          <w:rFonts w:cstheme="minorHAnsi"/>
          <w:color w:val="000000"/>
          <w:sz w:val="24"/>
          <w:szCs w:val="24"/>
        </w:rPr>
        <w:t xml:space="preserve">gonorrhea, by sex, are presented in </w:t>
      </w:r>
      <w:r w:rsidRPr="001904D5">
        <w:rPr>
          <w:rFonts w:cstheme="minorHAnsi"/>
          <w:b/>
          <w:bCs/>
          <w:sz w:val="24"/>
          <w:szCs w:val="24"/>
        </w:rPr>
        <w:t>Supplemental</w:t>
      </w:r>
      <w:r w:rsidRPr="001904D5">
        <w:rPr>
          <w:rFonts w:cstheme="minorHAnsi"/>
          <w:sz w:val="24"/>
          <w:szCs w:val="24"/>
        </w:rPr>
        <w:t xml:space="preserve"> </w:t>
      </w:r>
      <w:r w:rsidRPr="001904D5">
        <w:rPr>
          <w:rFonts w:cstheme="minorHAnsi"/>
          <w:b/>
          <w:bCs/>
          <w:color w:val="000000"/>
          <w:sz w:val="24"/>
          <w:szCs w:val="24"/>
        </w:rPr>
        <w:t xml:space="preserve">Table </w:t>
      </w:r>
      <w:r w:rsidR="00FC0099" w:rsidRPr="001904D5">
        <w:rPr>
          <w:rFonts w:cstheme="minorHAnsi"/>
          <w:b/>
          <w:bCs/>
          <w:color w:val="000000"/>
          <w:sz w:val="24"/>
          <w:szCs w:val="24"/>
        </w:rPr>
        <w:t>2</w:t>
      </w:r>
      <w:r w:rsidRPr="001904D5">
        <w:rPr>
          <w:rFonts w:cstheme="minorHAnsi"/>
          <w:color w:val="000000"/>
          <w:sz w:val="24"/>
          <w:szCs w:val="24"/>
        </w:rPr>
        <w:t>.</w:t>
      </w:r>
    </w:p>
    <w:p w14:paraId="09F6A003" w14:textId="24F47622" w:rsidR="00171F75" w:rsidRDefault="00171F75">
      <w:pPr>
        <w:rPr>
          <w:rFonts w:cstheme="minorHAnsi"/>
          <w:b/>
          <w:bCs/>
          <w:sz w:val="24"/>
          <w:szCs w:val="24"/>
        </w:rPr>
      </w:pPr>
    </w:p>
    <w:p w14:paraId="784FB06B" w14:textId="3B958327" w:rsidR="00607276" w:rsidRPr="001904D5" w:rsidRDefault="00607276" w:rsidP="00607276">
      <w:pPr>
        <w:spacing w:after="0" w:line="480" w:lineRule="auto"/>
        <w:rPr>
          <w:rFonts w:cstheme="minorHAnsi"/>
          <w:color w:val="000000"/>
          <w:sz w:val="24"/>
          <w:szCs w:val="24"/>
        </w:rPr>
      </w:pPr>
      <w:r w:rsidRPr="001904D5">
        <w:rPr>
          <w:rFonts w:cstheme="minorHAnsi"/>
          <w:b/>
          <w:bCs/>
          <w:sz w:val="24"/>
          <w:szCs w:val="24"/>
        </w:rPr>
        <w:t>Supplemental</w:t>
      </w:r>
      <w:r w:rsidRPr="001904D5">
        <w:rPr>
          <w:rFonts w:cstheme="minorHAnsi"/>
          <w:sz w:val="24"/>
          <w:szCs w:val="24"/>
        </w:rPr>
        <w:t xml:space="preserve"> </w:t>
      </w:r>
      <w:r w:rsidRPr="001904D5">
        <w:rPr>
          <w:b/>
          <w:bCs/>
          <w:sz w:val="24"/>
          <w:szCs w:val="24"/>
        </w:rPr>
        <w:t xml:space="preserve">Table </w:t>
      </w:r>
      <w:r w:rsidR="00FC0099" w:rsidRPr="001904D5">
        <w:rPr>
          <w:b/>
          <w:bCs/>
          <w:sz w:val="24"/>
          <w:szCs w:val="24"/>
        </w:rPr>
        <w:t>2</w:t>
      </w:r>
      <w:r w:rsidRPr="001904D5">
        <w:rPr>
          <w:b/>
          <w:bCs/>
          <w:sz w:val="24"/>
          <w:szCs w:val="24"/>
        </w:rPr>
        <w:t xml:space="preserve">. </w:t>
      </w:r>
      <w:r w:rsidRPr="001904D5">
        <w:rPr>
          <w:sz w:val="24"/>
          <w:szCs w:val="24"/>
        </w:rPr>
        <w:t xml:space="preserve">Rate of and days to symptomatic treatment seeking for infections due to </w:t>
      </w:r>
      <w:r w:rsidRPr="001904D5">
        <w:rPr>
          <w:i/>
          <w:iCs/>
          <w:sz w:val="24"/>
          <w:szCs w:val="24"/>
        </w:rPr>
        <w:t>Chlamydia trachomatis</w:t>
      </w:r>
      <w:r w:rsidRPr="001904D5">
        <w:rPr>
          <w:sz w:val="24"/>
          <w:szCs w:val="24"/>
        </w:rPr>
        <w:t xml:space="preserve"> and </w:t>
      </w:r>
      <w:r w:rsidRPr="001904D5">
        <w:rPr>
          <w:i/>
          <w:iCs/>
          <w:sz w:val="24"/>
          <w:szCs w:val="24"/>
        </w:rPr>
        <w:t>Neisseria gonorrhoeae</w:t>
      </w:r>
      <w:r w:rsidRPr="001904D5">
        <w:rPr>
          <w:sz w:val="24"/>
          <w:szCs w:val="24"/>
        </w:rPr>
        <w:t>, by sex.</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70"/>
        <w:gridCol w:w="1870"/>
        <w:gridCol w:w="1870"/>
        <w:gridCol w:w="1870"/>
      </w:tblGrid>
      <w:tr w:rsidR="00607276" w:rsidRPr="001904D5" w14:paraId="0EF5CD46" w14:textId="77777777" w:rsidTr="000A5E57">
        <w:trPr>
          <w:jc w:val="center"/>
        </w:trPr>
        <w:tc>
          <w:tcPr>
            <w:tcW w:w="1870" w:type="dxa"/>
            <w:tcBorders>
              <w:top w:val="single" w:sz="12" w:space="0" w:color="auto"/>
            </w:tcBorders>
            <w:vAlign w:val="center"/>
          </w:tcPr>
          <w:p w14:paraId="242FFAE0" w14:textId="77777777" w:rsidR="00607276" w:rsidRPr="001904D5" w:rsidRDefault="00607276" w:rsidP="000A5E57">
            <w:pPr>
              <w:rPr>
                <w:rFonts w:cstheme="minorHAnsi"/>
                <w:bCs/>
                <w:iCs/>
                <w:sz w:val="20"/>
                <w:szCs w:val="20"/>
              </w:rPr>
            </w:pPr>
          </w:p>
        </w:tc>
        <w:tc>
          <w:tcPr>
            <w:tcW w:w="1870" w:type="dxa"/>
            <w:vMerge w:val="restart"/>
            <w:tcBorders>
              <w:top w:val="single" w:sz="12" w:space="0" w:color="auto"/>
            </w:tcBorders>
            <w:vAlign w:val="center"/>
          </w:tcPr>
          <w:p w14:paraId="5FB81C8B" w14:textId="77777777" w:rsidR="00607276" w:rsidRPr="001904D5" w:rsidRDefault="00607276" w:rsidP="000A5E57">
            <w:pPr>
              <w:rPr>
                <w:rFonts w:cstheme="minorHAnsi"/>
                <w:b/>
                <w:iCs/>
                <w:sz w:val="20"/>
                <w:szCs w:val="20"/>
              </w:rPr>
            </w:pPr>
            <w:r w:rsidRPr="001904D5">
              <w:rPr>
                <w:rFonts w:cstheme="minorHAnsi"/>
                <w:b/>
                <w:iCs/>
                <w:sz w:val="20"/>
                <w:szCs w:val="20"/>
              </w:rPr>
              <w:t>Sex</w:t>
            </w:r>
          </w:p>
        </w:tc>
        <w:tc>
          <w:tcPr>
            <w:tcW w:w="3740" w:type="dxa"/>
            <w:gridSpan w:val="2"/>
            <w:tcBorders>
              <w:top w:val="single" w:sz="12" w:space="0" w:color="auto"/>
              <w:bottom w:val="single" w:sz="2" w:space="0" w:color="auto"/>
            </w:tcBorders>
            <w:vAlign w:val="center"/>
          </w:tcPr>
          <w:p w14:paraId="352BF10A" w14:textId="77777777" w:rsidR="00607276" w:rsidRPr="001904D5" w:rsidRDefault="00607276" w:rsidP="000A5E57">
            <w:pPr>
              <w:jc w:val="center"/>
              <w:rPr>
                <w:rFonts w:cstheme="minorHAnsi"/>
                <w:b/>
                <w:iCs/>
                <w:sz w:val="20"/>
                <w:szCs w:val="20"/>
              </w:rPr>
            </w:pPr>
            <w:r w:rsidRPr="001904D5">
              <w:rPr>
                <w:rFonts w:cstheme="minorHAnsi"/>
                <w:b/>
                <w:iCs/>
                <w:sz w:val="20"/>
                <w:szCs w:val="20"/>
              </w:rPr>
              <w:t>Median</w:t>
            </w:r>
          </w:p>
          <w:p w14:paraId="71CADFBA" w14:textId="77777777" w:rsidR="00607276" w:rsidRPr="001904D5" w:rsidRDefault="00607276" w:rsidP="000A5E57">
            <w:pPr>
              <w:jc w:val="center"/>
              <w:rPr>
                <w:rFonts w:cstheme="minorHAnsi"/>
                <w:b/>
                <w:iCs/>
                <w:sz w:val="20"/>
                <w:szCs w:val="20"/>
              </w:rPr>
            </w:pPr>
            <w:r w:rsidRPr="001904D5">
              <w:rPr>
                <w:rFonts w:cstheme="minorHAnsi"/>
                <w:b/>
                <w:iCs/>
                <w:sz w:val="20"/>
                <w:szCs w:val="20"/>
              </w:rPr>
              <w:t>(25</w:t>
            </w:r>
            <w:r w:rsidRPr="001904D5">
              <w:rPr>
                <w:rFonts w:cstheme="minorHAnsi"/>
                <w:b/>
                <w:iCs/>
                <w:sz w:val="20"/>
                <w:szCs w:val="20"/>
                <w:vertAlign w:val="superscript"/>
              </w:rPr>
              <w:t>th</w:t>
            </w:r>
            <w:r w:rsidRPr="001904D5">
              <w:rPr>
                <w:rFonts w:cstheme="minorHAnsi"/>
                <w:b/>
              </w:rPr>
              <w:t>–</w:t>
            </w:r>
            <w:r w:rsidRPr="001904D5">
              <w:rPr>
                <w:rFonts w:cstheme="minorHAnsi"/>
                <w:b/>
                <w:iCs/>
                <w:sz w:val="20"/>
                <w:szCs w:val="20"/>
              </w:rPr>
              <w:t>75</w:t>
            </w:r>
            <w:r w:rsidRPr="001904D5">
              <w:rPr>
                <w:rFonts w:cstheme="minorHAnsi"/>
                <w:b/>
                <w:iCs/>
                <w:sz w:val="20"/>
                <w:szCs w:val="20"/>
                <w:vertAlign w:val="superscript"/>
              </w:rPr>
              <w:t>th</w:t>
            </w:r>
            <w:r w:rsidRPr="001904D5">
              <w:rPr>
                <w:rFonts w:cstheme="minorHAnsi"/>
                <w:b/>
                <w:iCs/>
                <w:sz w:val="20"/>
                <w:szCs w:val="20"/>
              </w:rPr>
              <w:t xml:space="preserve"> percentile)</w:t>
            </w:r>
          </w:p>
        </w:tc>
      </w:tr>
      <w:tr w:rsidR="00607276" w:rsidRPr="001904D5" w14:paraId="07774C2A" w14:textId="77777777" w:rsidTr="000A5E57">
        <w:trPr>
          <w:jc w:val="center"/>
        </w:trPr>
        <w:tc>
          <w:tcPr>
            <w:tcW w:w="1870" w:type="dxa"/>
            <w:tcBorders>
              <w:bottom w:val="single" w:sz="12" w:space="0" w:color="auto"/>
            </w:tcBorders>
            <w:vAlign w:val="center"/>
          </w:tcPr>
          <w:p w14:paraId="06D09CB9" w14:textId="77777777" w:rsidR="00607276" w:rsidRPr="001904D5" w:rsidRDefault="00607276" w:rsidP="000A5E57">
            <w:pPr>
              <w:rPr>
                <w:rFonts w:cstheme="minorHAnsi"/>
                <w:bCs/>
                <w:iCs/>
                <w:sz w:val="20"/>
                <w:szCs w:val="20"/>
              </w:rPr>
            </w:pPr>
          </w:p>
        </w:tc>
        <w:tc>
          <w:tcPr>
            <w:tcW w:w="1870" w:type="dxa"/>
            <w:vMerge/>
            <w:tcBorders>
              <w:bottom w:val="single" w:sz="12" w:space="0" w:color="auto"/>
            </w:tcBorders>
            <w:vAlign w:val="center"/>
          </w:tcPr>
          <w:p w14:paraId="0C1911B8" w14:textId="77777777" w:rsidR="00607276" w:rsidRPr="001904D5" w:rsidRDefault="00607276" w:rsidP="000A5E57">
            <w:pPr>
              <w:rPr>
                <w:rFonts w:cstheme="minorHAnsi"/>
                <w:bCs/>
                <w:iCs/>
                <w:sz w:val="20"/>
                <w:szCs w:val="20"/>
              </w:rPr>
            </w:pPr>
          </w:p>
        </w:tc>
        <w:tc>
          <w:tcPr>
            <w:tcW w:w="1870" w:type="dxa"/>
            <w:tcBorders>
              <w:top w:val="single" w:sz="2" w:space="0" w:color="auto"/>
              <w:bottom w:val="single" w:sz="12" w:space="0" w:color="auto"/>
            </w:tcBorders>
            <w:vAlign w:val="center"/>
          </w:tcPr>
          <w:p w14:paraId="38C96F46" w14:textId="77777777" w:rsidR="00607276" w:rsidRPr="001904D5" w:rsidRDefault="00607276" w:rsidP="000A5E57">
            <w:pPr>
              <w:jc w:val="center"/>
              <w:rPr>
                <w:rFonts w:cstheme="minorHAnsi"/>
                <w:b/>
                <w:iCs/>
                <w:sz w:val="20"/>
                <w:szCs w:val="20"/>
              </w:rPr>
            </w:pPr>
            <w:r w:rsidRPr="001904D5">
              <w:rPr>
                <w:rFonts w:cstheme="minorHAnsi"/>
                <w:b/>
                <w:iCs/>
                <w:sz w:val="20"/>
                <w:szCs w:val="20"/>
              </w:rPr>
              <w:t>Rate</w:t>
            </w:r>
          </w:p>
        </w:tc>
        <w:tc>
          <w:tcPr>
            <w:tcW w:w="1870" w:type="dxa"/>
            <w:tcBorders>
              <w:top w:val="single" w:sz="2" w:space="0" w:color="auto"/>
              <w:bottom w:val="single" w:sz="12" w:space="0" w:color="auto"/>
            </w:tcBorders>
            <w:vAlign w:val="center"/>
          </w:tcPr>
          <w:p w14:paraId="22BEA972" w14:textId="77777777" w:rsidR="00607276" w:rsidRPr="001904D5" w:rsidRDefault="00607276" w:rsidP="000A5E57">
            <w:pPr>
              <w:jc w:val="center"/>
              <w:rPr>
                <w:rFonts w:cstheme="minorHAnsi"/>
                <w:b/>
                <w:iCs/>
                <w:sz w:val="20"/>
                <w:szCs w:val="20"/>
              </w:rPr>
            </w:pPr>
            <w:r w:rsidRPr="001904D5">
              <w:rPr>
                <w:rFonts w:cstheme="minorHAnsi"/>
                <w:b/>
                <w:iCs/>
                <w:sz w:val="20"/>
                <w:szCs w:val="20"/>
              </w:rPr>
              <w:t>Days</w:t>
            </w:r>
          </w:p>
        </w:tc>
      </w:tr>
      <w:tr w:rsidR="00607276" w:rsidRPr="001904D5" w14:paraId="289D320B" w14:textId="77777777" w:rsidTr="000A5E57">
        <w:trPr>
          <w:jc w:val="center"/>
        </w:trPr>
        <w:tc>
          <w:tcPr>
            <w:tcW w:w="1870" w:type="dxa"/>
            <w:vMerge w:val="restart"/>
            <w:tcBorders>
              <w:top w:val="single" w:sz="12" w:space="0" w:color="auto"/>
            </w:tcBorders>
            <w:vAlign w:val="center"/>
          </w:tcPr>
          <w:p w14:paraId="06B1A142" w14:textId="77777777" w:rsidR="00607276" w:rsidRPr="001904D5" w:rsidRDefault="00607276" w:rsidP="000A5E57">
            <w:pPr>
              <w:rPr>
                <w:rFonts w:cstheme="minorHAnsi"/>
                <w:b/>
                <w:iCs/>
                <w:sz w:val="20"/>
                <w:szCs w:val="20"/>
              </w:rPr>
            </w:pPr>
            <w:r w:rsidRPr="001904D5">
              <w:rPr>
                <w:rFonts w:cstheme="minorHAnsi"/>
                <w:b/>
                <w:iCs/>
                <w:sz w:val="20"/>
                <w:szCs w:val="20"/>
              </w:rPr>
              <w:t>Chlamydia</w:t>
            </w:r>
          </w:p>
        </w:tc>
        <w:tc>
          <w:tcPr>
            <w:tcW w:w="1870" w:type="dxa"/>
            <w:tcBorders>
              <w:top w:val="single" w:sz="12" w:space="0" w:color="auto"/>
            </w:tcBorders>
            <w:vAlign w:val="center"/>
          </w:tcPr>
          <w:p w14:paraId="678404B7" w14:textId="77777777" w:rsidR="00607276" w:rsidRPr="001904D5" w:rsidRDefault="00607276" w:rsidP="000A5E57">
            <w:pPr>
              <w:rPr>
                <w:rFonts w:cstheme="minorHAnsi"/>
                <w:b/>
                <w:iCs/>
                <w:sz w:val="20"/>
                <w:szCs w:val="20"/>
              </w:rPr>
            </w:pPr>
            <w:r w:rsidRPr="001904D5">
              <w:rPr>
                <w:rFonts w:cstheme="minorHAnsi"/>
                <w:b/>
                <w:iCs/>
                <w:sz w:val="20"/>
                <w:szCs w:val="20"/>
              </w:rPr>
              <w:t>Men</w:t>
            </w:r>
          </w:p>
        </w:tc>
        <w:tc>
          <w:tcPr>
            <w:tcW w:w="1870" w:type="dxa"/>
            <w:tcBorders>
              <w:top w:val="single" w:sz="12" w:space="0" w:color="auto"/>
            </w:tcBorders>
            <w:vAlign w:val="center"/>
          </w:tcPr>
          <w:p w14:paraId="4EB5D2F8" w14:textId="77777777" w:rsidR="00607276" w:rsidRPr="001904D5" w:rsidRDefault="00607276" w:rsidP="000A5E57">
            <w:pPr>
              <w:jc w:val="center"/>
              <w:rPr>
                <w:rFonts w:cstheme="minorHAnsi"/>
                <w:bCs/>
                <w:iCs/>
                <w:sz w:val="20"/>
                <w:szCs w:val="20"/>
              </w:rPr>
            </w:pPr>
            <w:r w:rsidRPr="001904D5">
              <w:rPr>
                <w:rFonts w:cstheme="minorHAnsi"/>
                <w:bCs/>
                <w:iCs/>
                <w:sz w:val="20"/>
                <w:szCs w:val="20"/>
              </w:rPr>
              <w:t>14.3</w:t>
            </w:r>
          </w:p>
          <w:p w14:paraId="306B62EA" w14:textId="77777777" w:rsidR="00607276" w:rsidRPr="001904D5" w:rsidRDefault="00607276" w:rsidP="000A5E57">
            <w:pPr>
              <w:jc w:val="center"/>
              <w:rPr>
                <w:rFonts w:cstheme="minorHAnsi"/>
                <w:bCs/>
                <w:iCs/>
                <w:sz w:val="20"/>
                <w:szCs w:val="20"/>
              </w:rPr>
            </w:pPr>
            <w:r w:rsidRPr="001904D5">
              <w:rPr>
                <w:rFonts w:cstheme="minorHAnsi"/>
                <w:bCs/>
                <w:iCs/>
                <w:sz w:val="20"/>
                <w:szCs w:val="20"/>
              </w:rPr>
              <w:t xml:space="preserve">(11.9–17.9) </w:t>
            </w:r>
          </w:p>
        </w:tc>
        <w:tc>
          <w:tcPr>
            <w:tcW w:w="1870" w:type="dxa"/>
            <w:tcBorders>
              <w:top w:val="single" w:sz="12" w:space="0" w:color="auto"/>
            </w:tcBorders>
            <w:vAlign w:val="center"/>
          </w:tcPr>
          <w:p w14:paraId="22BE7749" w14:textId="77777777" w:rsidR="00607276" w:rsidRPr="001904D5" w:rsidRDefault="00607276" w:rsidP="000A5E57">
            <w:pPr>
              <w:jc w:val="center"/>
              <w:rPr>
                <w:rFonts w:cstheme="minorHAnsi"/>
                <w:bCs/>
                <w:iCs/>
                <w:sz w:val="20"/>
                <w:szCs w:val="20"/>
              </w:rPr>
            </w:pPr>
            <w:r w:rsidRPr="001904D5">
              <w:rPr>
                <w:rFonts w:cstheme="minorHAnsi"/>
                <w:bCs/>
                <w:iCs/>
                <w:sz w:val="20"/>
                <w:szCs w:val="20"/>
              </w:rPr>
              <w:t>25.5</w:t>
            </w:r>
          </w:p>
          <w:p w14:paraId="7FF301E9" w14:textId="77777777" w:rsidR="00607276" w:rsidRPr="001904D5" w:rsidRDefault="00607276" w:rsidP="000A5E57">
            <w:pPr>
              <w:jc w:val="center"/>
              <w:rPr>
                <w:rFonts w:cstheme="minorHAnsi"/>
                <w:bCs/>
                <w:iCs/>
                <w:sz w:val="20"/>
                <w:szCs w:val="20"/>
              </w:rPr>
            </w:pPr>
            <w:r w:rsidRPr="001904D5">
              <w:rPr>
                <w:rFonts w:cstheme="minorHAnsi"/>
                <w:bCs/>
                <w:iCs/>
                <w:sz w:val="20"/>
                <w:szCs w:val="20"/>
              </w:rPr>
              <w:t>(20.4–30.7)</w:t>
            </w:r>
          </w:p>
        </w:tc>
      </w:tr>
      <w:tr w:rsidR="00607276" w:rsidRPr="001904D5" w14:paraId="12B17896" w14:textId="77777777" w:rsidTr="000A5E57">
        <w:trPr>
          <w:jc w:val="center"/>
        </w:trPr>
        <w:tc>
          <w:tcPr>
            <w:tcW w:w="1870" w:type="dxa"/>
            <w:vMerge/>
            <w:vAlign w:val="center"/>
          </w:tcPr>
          <w:p w14:paraId="3195A724" w14:textId="77777777" w:rsidR="00607276" w:rsidRPr="001904D5" w:rsidRDefault="00607276" w:rsidP="000A5E57">
            <w:pPr>
              <w:rPr>
                <w:rFonts w:cstheme="minorHAnsi"/>
                <w:b/>
                <w:iCs/>
                <w:sz w:val="20"/>
                <w:szCs w:val="20"/>
              </w:rPr>
            </w:pPr>
          </w:p>
        </w:tc>
        <w:tc>
          <w:tcPr>
            <w:tcW w:w="1870" w:type="dxa"/>
            <w:vAlign w:val="center"/>
          </w:tcPr>
          <w:p w14:paraId="5539CD12" w14:textId="77777777" w:rsidR="00607276" w:rsidRPr="001904D5" w:rsidRDefault="00607276" w:rsidP="000A5E57">
            <w:pPr>
              <w:rPr>
                <w:rFonts w:cstheme="minorHAnsi"/>
                <w:b/>
                <w:iCs/>
                <w:sz w:val="20"/>
                <w:szCs w:val="20"/>
              </w:rPr>
            </w:pPr>
            <w:r w:rsidRPr="001904D5">
              <w:rPr>
                <w:rFonts w:cstheme="minorHAnsi"/>
                <w:b/>
                <w:iCs/>
                <w:sz w:val="20"/>
                <w:szCs w:val="20"/>
              </w:rPr>
              <w:t>Women</w:t>
            </w:r>
          </w:p>
        </w:tc>
        <w:tc>
          <w:tcPr>
            <w:tcW w:w="1870" w:type="dxa"/>
            <w:vAlign w:val="center"/>
          </w:tcPr>
          <w:p w14:paraId="257CFFD6" w14:textId="77777777" w:rsidR="00607276" w:rsidRPr="001904D5" w:rsidRDefault="00607276" w:rsidP="000A5E57">
            <w:pPr>
              <w:jc w:val="center"/>
              <w:rPr>
                <w:rFonts w:cstheme="minorHAnsi"/>
                <w:bCs/>
                <w:iCs/>
                <w:sz w:val="20"/>
                <w:szCs w:val="20"/>
              </w:rPr>
            </w:pPr>
            <w:r w:rsidRPr="001904D5">
              <w:rPr>
                <w:rFonts w:cstheme="minorHAnsi"/>
                <w:bCs/>
                <w:iCs/>
                <w:sz w:val="20"/>
                <w:szCs w:val="20"/>
              </w:rPr>
              <w:t>7.4</w:t>
            </w:r>
          </w:p>
          <w:p w14:paraId="476F757B" w14:textId="77777777" w:rsidR="00607276" w:rsidRPr="001904D5" w:rsidRDefault="00607276" w:rsidP="000A5E57">
            <w:pPr>
              <w:jc w:val="center"/>
              <w:rPr>
                <w:rFonts w:cstheme="minorHAnsi"/>
                <w:bCs/>
                <w:iCs/>
                <w:sz w:val="20"/>
                <w:szCs w:val="20"/>
              </w:rPr>
            </w:pPr>
            <w:r w:rsidRPr="001904D5">
              <w:rPr>
                <w:rFonts w:cstheme="minorHAnsi"/>
                <w:bCs/>
                <w:iCs/>
                <w:sz w:val="20"/>
                <w:szCs w:val="20"/>
              </w:rPr>
              <w:t>(6.2–9.2)</w:t>
            </w:r>
          </w:p>
        </w:tc>
        <w:tc>
          <w:tcPr>
            <w:tcW w:w="1870" w:type="dxa"/>
            <w:vAlign w:val="center"/>
          </w:tcPr>
          <w:p w14:paraId="19FAC721" w14:textId="77777777" w:rsidR="00607276" w:rsidRPr="001904D5" w:rsidRDefault="00607276" w:rsidP="000A5E57">
            <w:pPr>
              <w:jc w:val="center"/>
              <w:rPr>
                <w:rFonts w:cstheme="minorHAnsi"/>
                <w:bCs/>
                <w:iCs/>
                <w:sz w:val="20"/>
                <w:szCs w:val="20"/>
              </w:rPr>
            </w:pPr>
            <w:r w:rsidRPr="001904D5">
              <w:rPr>
                <w:rFonts w:cstheme="minorHAnsi"/>
                <w:bCs/>
                <w:iCs/>
                <w:sz w:val="20"/>
                <w:szCs w:val="20"/>
              </w:rPr>
              <w:t>49.4</w:t>
            </w:r>
          </w:p>
          <w:p w14:paraId="44B5EF7D" w14:textId="77777777" w:rsidR="00607276" w:rsidRPr="001904D5" w:rsidRDefault="00607276" w:rsidP="000A5E57">
            <w:pPr>
              <w:jc w:val="center"/>
              <w:rPr>
                <w:rFonts w:cstheme="minorHAnsi"/>
                <w:bCs/>
                <w:iCs/>
                <w:sz w:val="20"/>
                <w:szCs w:val="20"/>
              </w:rPr>
            </w:pPr>
            <w:r w:rsidRPr="001904D5">
              <w:rPr>
                <w:rFonts w:cstheme="minorHAnsi"/>
                <w:bCs/>
                <w:iCs/>
                <w:sz w:val="20"/>
                <w:szCs w:val="20"/>
              </w:rPr>
              <w:t>(39.7–58.9)</w:t>
            </w:r>
          </w:p>
        </w:tc>
      </w:tr>
      <w:tr w:rsidR="00607276" w:rsidRPr="001904D5" w14:paraId="739B5C4C" w14:textId="77777777" w:rsidTr="000A5E57">
        <w:trPr>
          <w:jc w:val="center"/>
        </w:trPr>
        <w:tc>
          <w:tcPr>
            <w:tcW w:w="1870" w:type="dxa"/>
            <w:vMerge w:val="restart"/>
            <w:vAlign w:val="center"/>
          </w:tcPr>
          <w:p w14:paraId="3D6BD4BB" w14:textId="77777777" w:rsidR="00607276" w:rsidRPr="001904D5" w:rsidRDefault="00607276" w:rsidP="000A5E57">
            <w:pPr>
              <w:rPr>
                <w:rFonts w:cstheme="minorHAnsi"/>
                <w:b/>
                <w:iCs/>
                <w:sz w:val="20"/>
                <w:szCs w:val="20"/>
              </w:rPr>
            </w:pPr>
            <w:r w:rsidRPr="001904D5">
              <w:rPr>
                <w:rFonts w:cstheme="minorHAnsi"/>
                <w:b/>
                <w:iCs/>
                <w:sz w:val="20"/>
                <w:szCs w:val="20"/>
              </w:rPr>
              <w:t>Gonorrhea</w:t>
            </w:r>
          </w:p>
        </w:tc>
        <w:tc>
          <w:tcPr>
            <w:tcW w:w="1870" w:type="dxa"/>
            <w:vAlign w:val="center"/>
          </w:tcPr>
          <w:p w14:paraId="6CCCD349" w14:textId="77777777" w:rsidR="00607276" w:rsidRPr="001904D5" w:rsidRDefault="00607276" w:rsidP="000A5E57">
            <w:pPr>
              <w:rPr>
                <w:rFonts w:cstheme="minorHAnsi"/>
                <w:b/>
                <w:iCs/>
                <w:sz w:val="20"/>
                <w:szCs w:val="20"/>
              </w:rPr>
            </w:pPr>
            <w:r w:rsidRPr="001904D5">
              <w:rPr>
                <w:rFonts w:cstheme="minorHAnsi"/>
                <w:b/>
                <w:iCs/>
                <w:sz w:val="20"/>
                <w:szCs w:val="20"/>
              </w:rPr>
              <w:t>Men</w:t>
            </w:r>
          </w:p>
        </w:tc>
        <w:tc>
          <w:tcPr>
            <w:tcW w:w="1870" w:type="dxa"/>
            <w:vAlign w:val="center"/>
          </w:tcPr>
          <w:p w14:paraId="08D2910F" w14:textId="77777777" w:rsidR="00607276" w:rsidRPr="001904D5" w:rsidRDefault="00607276" w:rsidP="000A5E57">
            <w:pPr>
              <w:jc w:val="center"/>
              <w:rPr>
                <w:rFonts w:cstheme="minorHAnsi"/>
                <w:bCs/>
                <w:iCs/>
                <w:sz w:val="20"/>
                <w:szCs w:val="20"/>
              </w:rPr>
            </w:pPr>
            <w:r w:rsidRPr="001904D5">
              <w:rPr>
                <w:rFonts w:cstheme="minorHAnsi"/>
                <w:bCs/>
                <w:iCs/>
                <w:sz w:val="20"/>
                <w:szCs w:val="20"/>
              </w:rPr>
              <w:t>22.6</w:t>
            </w:r>
          </w:p>
          <w:p w14:paraId="1113918B" w14:textId="77777777" w:rsidR="00607276" w:rsidRPr="001904D5" w:rsidRDefault="00607276" w:rsidP="000A5E57">
            <w:pPr>
              <w:jc w:val="center"/>
              <w:rPr>
                <w:rFonts w:cstheme="minorHAnsi"/>
                <w:bCs/>
                <w:iCs/>
                <w:sz w:val="20"/>
                <w:szCs w:val="20"/>
              </w:rPr>
            </w:pPr>
            <w:r w:rsidRPr="001904D5">
              <w:rPr>
                <w:rFonts w:cstheme="minorHAnsi"/>
                <w:bCs/>
                <w:iCs/>
                <w:sz w:val="20"/>
                <w:szCs w:val="20"/>
              </w:rPr>
              <w:t>(19.8–26.4)</w:t>
            </w:r>
          </w:p>
        </w:tc>
        <w:tc>
          <w:tcPr>
            <w:tcW w:w="1870" w:type="dxa"/>
            <w:vAlign w:val="center"/>
          </w:tcPr>
          <w:p w14:paraId="36C3319A" w14:textId="77777777" w:rsidR="00607276" w:rsidRPr="001904D5" w:rsidRDefault="00607276" w:rsidP="000A5E57">
            <w:pPr>
              <w:jc w:val="center"/>
              <w:rPr>
                <w:rFonts w:cstheme="minorHAnsi"/>
                <w:bCs/>
                <w:iCs/>
                <w:sz w:val="20"/>
                <w:szCs w:val="20"/>
              </w:rPr>
            </w:pPr>
            <w:r w:rsidRPr="001904D5">
              <w:rPr>
                <w:rFonts w:cstheme="minorHAnsi"/>
                <w:bCs/>
                <w:iCs/>
                <w:sz w:val="20"/>
                <w:szCs w:val="20"/>
              </w:rPr>
              <w:t>16.2</w:t>
            </w:r>
          </w:p>
          <w:p w14:paraId="7952ABF2" w14:textId="77777777" w:rsidR="00607276" w:rsidRPr="001904D5" w:rsidRDefault="00607276" w:rsidP="000A5E57">
            <w:pPr>
              <w:jc w:val="center"/>
              <w:rPr>
                <w:rFonts w:cstheme="minorHAnsi"/>
                <w:bCs/>
                <w:iCs/>
                <w:sz w:val="20"/>
                <w:szCs w:val="20"/>
              </w:rPr>
            </w:pPr>
            <w:r w:rsidRPr="001904D5">
              <w:rPr>
                <w:rFonts w:cstheme="minorHAnsi"/>
                <w:bCs/>
                <w:iCs/>
                <w:sz w:val="20"/>
                <w:szCs w:val="20"/>
              </w:rPr>
              <w:t>(13.8–18.4)</w:t>
            </w:r>
          </w:p>
        </w:tc>
      </w:tr>
      <w:tr w:rsidR="00607276" w:rsidRPr="001904D5" w14:paraId="2E5FC5AA" w14:textId="77777777" w:rsidTr="000A5E57">
        <w:trPr>
          <w:jc w:val="center"/>
        </w:trPr>
        <w:tc>
          <w:tcPr>
            <w:tcW w:w="1870" w:type="dxa"/>
            <w:vMerge/>
            <w:tcBorders>
              <w:bottom w:val="single" w:sz="12" w:space="0" w:color="auto"/>
            </w:tcBorders>
            <w:vAlign w:val="center"/>
          </w:tcPr>
          <w:p w14:paraId="2A30B357" w14:textId="77777777" w:rsidR="00607276" w:rsidRPr="001904D5" w:rsidRDefault="00607276" w:rsidP="000A5E57">
            <w:pPr>
              <w:rPr>
                <w:rFonts w:cstheme="minorHAnsi"/>
                <w:b/>
                <w:iCs/>
                <w:sz w:val="20"/>
                <w:szCs w:val="20"/>
              </w:rPr>
            </w:pPr>
          </w:p>
        </w:tc>
        <w:tc>
          <w:tcPr>
            <w:tcW w:w="1870" w:type="dxa"/>
            <w:tcBorders>
              <w:bottom w:val="single" w:sz="12" w:space="0" w:color="auto"/>
            </w:tcBorders>
            <w:vAlign w:val="center"/>
          </w:tcPr>
          <w:p w14:paraId="295CE174" w14:textId="77777777" w:rsidR="00607276" w:rsidRPr="001904D5" w:rsidRDefault="00607276" w:rsidP="000A5E57">
            <w:pPr>
              <w:rPr>
                <w:rFonts w:cstheme="minorHAnsi"/>
                <w:b/>
                <w:iCs/>
                <w:sz w:val="20"/>
                <w:szCs w:val="20"/>
              </w:rPr>
            </w:pPr>
            <w:r w:rsidRPr="001904D5">
              <w:rPr>
                <w:rFonts w:cstheme="minorHAnsi"/>
                <w:b/>
                <w:iCs/>
                <w:sz w:val="20"/>
                <w:szCs w:val="20"/>
              </w:rPr>
              <w:t>Women</w:t>
            </w:r>
          </w:p>
        </w:tc>
        <w:tc>
          <w:tcPr>
            <w:tcW w:w="1870" w:type="dxa"/>
            <w:tcBorders>
              <w:bottom w:val="single" w:sz="12" w:space="0" w:color="auto"/>
            </w:tcBorders>
            <w:vAlign w:val="center"/>
          </w:tcPr>
          <w:p w14:paraId="6B41F89A" w14:textId="77777777" w:rsidR="00607276" w:rsidRPr="001904D5" w:rsidRDefault="00607276" w:rsidP="000A5E57">
            <w:pPr>
              <w:jc w:val="center"/>
              <w:rPr>
                <w:rFonts w:cstheme="minorHAnsi"/>
                <w:bCs/>
                <w:iCs/>
                <w:sz w:val="20"/>
                <w:szCs w:val="20"/>
              </w:rPr>
            </w:pPr>
            <w:r w:rsidRPr="001904D5">
              <w:rPr>
                <w:rFonts w:cstheme="minorHAnsi"/>
                <w:bCs/>
                <w:iCs/>
                <w:sz w:val="20"/>
                <w:szCs w:val="20"/>
              </w:rPr>
              <w:t>11.5</w:t>
            </w:r>
          </w:p>
          <w:p w14:paraId="5CEB2780" w14:textId="77777777" w:rsidR="00607276" w:rsidRPr="001904D5" w:rsidRDefault="00607276" w:rsidP="000A5E57">
            <w:pPr>
              <w:jc w:val="center"/>
              <w:rPr>
                <w:rFonts w:cstheme="minorHAnsi"/>
                <w:bCs/>
                <w:iCs/>
                <w:sz w:val="20"/>
                <w:szCs w:val="20"/>
              </w:rPr>
            </w:pPr>
            <w:r w:rsidRPr="001904D5">
              <w:rPr>
                <w:rFonts w:cstheme="minorHAnsi"/>
                <w:bCs/>
                <w:iCs/>
                <w:sz w:val="20"/>
                <w:szCs w:val="20"/>
              </w:rPr>
              <w:t>(10.1–13.3)</w:t>
            </w:r>
          </w:p>
        </w:tc>
        <w:tc>
          <w:tcPr>
            <w:tcW w:w="1870" w:type="dxa"/>
            <w:tcBorders>
              <w:bottom w:val="single" w:sz="12" w:space="0" w:color="auto"/>
            </w:tcBorders>
            <w:vAlign w:val="center"/>
          </w:tcPr>
          <w:p w14:paraId="44574792" w14:textId="77777777" w:rsidR="00607276" w:rsidRPr="001904D5" w:rsidRDefault="00607276" w:rsidP="000A5E57">
            <w:pPr>
              <w:jc w:val="center"/>
              <w:rPr>
                <w:rFonts w:cstheme="minorHAnsi"/>
                <w:bCs/>
                <w:iCs/>
                <w:sz w:val="20"/>
                <w:szCs w:val="20"/>
              </w:rPr>
            </w:pPr>
            <w:r w:rsidRPr="001904D5">
              <w:rPr>
                <w:rFonts w:cstheme="minorHAnsi"/>
                <w:bCs/>
                <w:iCs/>
                <w:sz w:val="20"/>
                <w:szCs w:val="20"/>
              </w:rPr>
              <w:t>31.8</w:t>
            </w:r>
          </w:p>
          <w:p w14:paraId="63617F5C" w14:textId="77777777" w:rsidR="00607276" w:rsidRPr="001904D5" w:rsidRDefault="00607276" w:rsidP="000A5E57">
            <w:pPr>
              <w:jc w:val="center"/>
              <w:rPr>
                <w:rFonts w:cstheme="minorHAnsi"/>
                <w:bCs/>
                <w:iCs/>
                <w:sz w:val="20"/>
                <w:szCs w:val="20"/>
              </w:rPr>
            </w:pPr>
            <w:r w:rsidRPr="001904D5">
              <w:rPr>
                <w:rFonts w:cstheme="minorHAnsi"/>
                <w:bCs/>
                <w:iCs/>
                <w:sz w:val="20"/>
                <w:szCs w:val="20"/>
              </w:rPr>
              <w:t>(27.5–36.2)</w:t>
            </w:r>
          </w:p>
        </w:tc>
      </w:tr>
    </w:tbl>
    <w:p w14:paraId="3D789066" w14:textId="77777777" w:rsidR="00171F75" w:rsidRDefault="00171F75" w:rsidP="00607276">
      <w:pPr>
        <w:pStyle w:val="Heading1"/>
        <w:spacing w:before="0" w:line="480" w:lineRule="auto"/>
        <w:rPr>
          <w:rFonts w:asciiTheme="minorHAnsi" w:hAnsiTheme="minorHAnsi" w:cstheme="minorHAnsi"/>
          <w:b/>
          <w:bCs/>
          <w:color w:val="auto"/>
          <w:sz w:val="28"/>
          <w:szCs w:val="28"/>
          <w:u w:val="single"/>
        </w:rPr>
      </w:pPr>
    </w:p>
    <w:p w14:paraId="542532A0" w14:textId="77777777" w:rsidR="00171F75" w:rsidRDefault="00171F75">
      <w:pPr>
        <w:rPr>
          <w:rFonts w:eastAsiaTheme="majorEastAsia" w:cstheme="minorHAnsi"/>
          <w:b/>
          <w:bCs/>
          <w:sz w:val="28"/>
          <w:szCs w:val="28"/>
          <w:u w:val="single"/>
        </w:rPr>
      </w:pPr>
      <w:r>
        <w:rPr>
          <w:rFonts w:cstheme="minorHAnsi"/>
          <w:b/>
          <w:bCs/>
          <w:sz w:val="28"/>
          <w:szCs w:val="28"/>
          <w:u w:val="single"/>
        </w:rPr>
        <w:br w:type="page"/>
      </w:r>
    </w:p>
    <w:p w14:paraId="2B2ECB0C" w14:textId="55485D04" w:rsidR="00607276" w:rsidRPr="001904D5" w:rsidRDefault="00607276" w:rsidP="00171F75">
      <w:pPr>
        <w:pStyle w:val="Heading1"/>
        <w:spacing w:before="0" w:line="480" w:lineRule="auto"/>
        <w:jc w:val="center"/>
        <w:rPr>
          <w:rFonts w:asciiTheme="minorHAnsi" w:hAnsiTheme="minorHAnsi" w:cstheme="minorHAnsi"/>
          <w:b/>
          <w:bCs/>
          <w:color w:val="auto"/>
          <w:sz w:val="28"/>
          <w:szCs w:val="28"/>
          <w:u w:val="single"/>
        </w:rPr>
      </w:pPr>
      <w:r w:rsidRPr="001904D5">
        <w:rPr>
          <w:rFonts w:asciiTheme="minorHAnsi" w:hAnsiTheme="minorHAnsi" w:cstheme="minorHAnsi"/>
          <w:b/>
          <w:bCs/>
          <w:color w:val="auto"/>
          <w:sz w:val="28"/>
          <w:szCs w:val="28"/>
          <w:u w:val="single"/>
        </w:rPr>
        <w:lastRenderedPageBreak/>
        <w:t>Criteria for Rating the Strength of Inputs for Model Parameters</w:t>
      </w:r>
    </w:p>
    <w:p w14:paraId="3D305F5B" w14:textId="77777777" w:rsidR="00607276" w:rsidRPr="001904D5" w:rsidRDefault="00607276" w:rsidP="00607276">
      <w:pPr>
        <w:spacing w:after="0" w:line="480" w:lineRule="auto"/>
        <w:ind w:firstLine="360"/>
        <w:rPr>
          <w:rFonts w:cstheme="minorHAnsi"/>
          <w:b/>
          <w:sz w:val="24"/>
          <w:szCs w:val="24"/>
        </w:rPr>
      </w:pPr>
      <w:r w:rsidRPr="001904D5">
        <w:rPr>
          <w:rFonts w:cstheme="minorHAnsi"/>
          <w:color w:val="000000"/>
          <w:sz w:val="24"/>
          <w:szCs w:val="24"/>
        </w:rPr>
        <w:t xml:space="preserve">The following describes the rating scale used to determine the strength of the inputs used for model parameters. </w:t>
      </w:r>
    </w:p>
    <w:p w14:paraId="03C6F14A" w14:textId="77777777" w:rsidR="00607276" w:rsidRPr="001904D5" w:rsidRDefault="00607276" w:rsidP="00607276">
      <w:pPr>
        <w:spacing w:after="0" w:line="480" w:lineRule="auto"/>
        <w:ind w:left="-187"/>
        <w:rPr>
          <w:rFonts w:cstheme="minorHAnsi"/>
          <w:b/>
          <w:sz w:val="24"/>
          <w:szCs w:val="24"/>
        </w:rPr>
      </w:pPr>
    </w:p>
    <w:p w14:paraId="02236573" w14:textId="71D543C2" w:rsidR="00607276" w:rsidRPr="001904D5" w:rsidRDefault="00607276" w:rsidP="00607276">
      <w:pPr>
        <w:spacing w:after="0" w:line="480" w:lineRule="auto"/>
        <w:ind w:left="-187"/>
        <w:rPr>
          <w:rFonts w:cstheme="minorHAnsi"/>
          <w:sz w:val="24"/>
        </w:rPr>
      </w:pPr>
      <w:r w:rsidRPr="001904D5">
        <w:rPr>
          <w:rFonts w:cstheme="minorHAnsi"/>
          <w:b/>
          <w:sz w:val="24"/>
          <w:szCs w:val="24"/>
        </w:rPr>
        <w:t xml:space="preserve">Supplemental Table </w:t>
      </w:r>
      <w:r w:rsidR="00FC0099" w:rsidRPr="001904D5">
        <w:rPr>
          <w:rFonts w:cstheme="minorHAnsi"/>
          <w:b/>
          <w:sz w:val="24"/>
          <w:szCs w:val="24"/>
        </w:rPr>
        <w:t>3</w:t>
      </w:r>
      <w:r w:rsidRPr="001904D5">
        <w:rPr>
          <w:rFonts w:cstheme="minorHAnsi"/>
          <w:b/>
          <w:sz w:val="24"/>
          <w:szCs w:val="24"/>
        </w:rPr>
        <w:t>.</w:t>
      </w:r>
      <w:r w:rsidRPr="001904D5">
        <w:rPr>
          <w:rFonts w:cstheme="minorHAnsi"/>
          <w:sz w:val="24"/>
          <w:szCs w:val="24"/>
        </w:rPr>
        <w:t xml:space="preserve"> </w:t>
      </w:r>
      <w:r w:rsidRPr="001904D5">
        <w:rPr>
          <w:rFonts w:cstheme="minorHAnsi"/>
          <w:sz w:val="24"/>
        </w:rPr>
        <w:t xml:space="preserve">Criteria for Rating the Strength of Inputs for Model </w:t>
      </w:r>
      <w:proofErr w:type="gramStart"/>
      <w:r w:rsidRPr="001904D5">
        <w:rPr>
          <w:rFonts w:cstheme="minorHAnsi"/>
          <w:sz w:val="24"/>
        </w:rPr>
        <w:t>Parameters.*</w:t>
      </w:r>
      <w:proofErr w:type="gramEnd"/>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885"/>
        <w:gridCol w:w="6930"/>
      </w:tblGrid>
      <w:tr w:rsidR="00607276" w:rsidRPr="001904D5" w14:paraId="39FCCD85" w14:textId="77777777" w:rsidTr="000A5E57">
        <w:trPr>
          <w:jc w:val="center"/>
        </w:trPr>
        <w:tc>
          <w:tcPr>
            <w:tcW w:w="1885" w:type="dxa"/>
            <w:tcBorders>
              <w:top w:val="single" w:sz="12" w:space="0" w:color="auto"/>
              <w:bottom w:val="single" w:sz="12" w:space="0" w:color="auto"/>
            </w:tcBorders>
          </w:tcPr>
          <w:p w14:paraId="22F79DC8" w14:textId="77777777" w:rsidR="00607276" w:rsidRPr="001904D5" w:rsidRDefault="00607276" w:rsidP="000A5E57">
            <w:pPr>
              <w:spacing w:before="120" w:after="120"/>
              <w:rPr>
                <w:b/>
              </w:rPr>
            </w:pPr>
            <w:r w:rsidRPr="001904D5">
              <w:rPr>
                <w:b/>
              </w:rPr>
              <w:t>Strength of Input</w:t>
            </w:r>
          </w:p>
        </w:tc>
        <w:tc>
          <w:tcPr>
            <w:tcW w:w="6930" w:type="dxa"/>
            <w:tcBorders>
              <w:top w:val="single" w:sz="12" w:space="0" w:color="auto"/>
              <w:bottom w:val="single" w:sz="12" w:space="0" w:color="auto"/>
            </w:tcBorders>
          </w:tcPr>
          <w:p w14:paraId="106CD38F" w14:textId="77777777" w:rsidR="00607276" w:rsidRPr="001904D5" w:rsidRDefault="00607276" w:rsidP="000A5E57">
            <w:pPr>
              <w:spacing w:before="120" w:after="120"/>
              <w:rPr>
                <w:b/>
              </w:rPr>
            </w:pPr>
            <w:r w:rsidRPr="001904D5">
              <w:rPr>
                <w:b/>
              </w:rPr>
              <w:t>Criteria</w:t>
            </w:r>
          </w:p>
        </w:tc>
      </w:tr>
      <w:tr w:rsidR="00607276" w:rsidRPr="001904D5" w14:paraId="3935EFDC" w14:textId="77777777" w:rsidTr="000A5E57">
        <w:trPr>
          <w:jc w:val="center"/>
        </w:trPr>
        <w:tc>
          <w:tcPr>
            <w:tcW w:w="1885" w:type="dxa"/>
            <w:tcBorders>
              <w:top w:val="single" w:sz="12" w:space="0" w:color="auto"/>
            </w:tcBorders>
            <w:shd w:val="clear" w:color="auto" w:fill="F2F2F2" w:themeFill="background1" w:themeFillShade="F2"/>
          </w:tcPr>
          <w:p w14:paraId="3265467A" w14:textId="77777777" w:rsidR="00607276" w:rsidRPr="001904D5" w:rsidRDefault="00607276" w:rsidP="000A5E57">
            <w:r w:rsidRPr="001904D5">
              <w:t>I (good)</w:t>
            </w:r>
          </w:p>
        </w:tc>
        <w:tc>
          <w:tcPr>
            <w:tcW w:w="6930" w:type="dxa"/>
            <w:tcBorders>
              <w:top w:val="single" w:sz="12" w:space="0" w:color="auto"/>
            </w:tcBorders>
            <w:shd w:val="clear" w:color="auto" w:fill="F2F2F2" w:themeFill="background1" w:themeFillShade="F2"/>
          </w:tcPr>
          <w:p w14:paraId="724D8405" w14:textId="77777777" w:rsidR="00607276" w:rsidRPr="001904D5" w:rsidRDefault="00607276" w:rsidP="000A5E57">
            <w:pPr>
              <w:rPr>
                <w:b/>
              </w:rPr>
            </w:pPr>
            <w:r w:rsidRPr="001904D5">
              <w:rPr>
                <w:b/>
              </w:rPr>
              <w:t xml:space="preserve">Input estimate based on… </w:t>
            </w:r>
          </w:p>
          <w:p w14:paraId="22CE9B85" w14:textId="77777777" w:rsidR="00607276" w:rsidRPr="001904D5" w:rsidRDefault="00607276" w:rsidP="000A5E57">
            <w:r w:rsidRPr="001904D5">
              <w:t xml:space="preserve">Consistent results from well-designed, well-conducted nationally representative studies </w:t>
            </w:r>
          </w:p>
          <w:p w14:paraId="6B30FFC7" w14:textId="77777777" w:rsidR="00607276" w:rsidRPr="001904D5" w:rsidRDefault="00607276" w:rsidP="000A5E57">
            <w:pPr>
              <w:rPr>
                <w:b/>
              </w:rPr>
            </w:pPr>
            <w:r w:rsidRPr="001904D5">
              <w:rPr>
                <w:b/>
              </w:rPr>
              <w:t xml:space="preserve">OR </w:t>
            </w:r>
          </w:p>
          <w:p w14:paraId="51D1538D" w14:textId="77777777" w:rsidR="00607276" w:rsidRPr="001904D5" w:rsidRDefault="00607276" w:rsidP="000A5E57">
            <w:r w:rsidRPr="001904D5">
              <w:t>Complete national reporting</w:t>
            </w:r>
          </w:p>
          <w:p w14:paraId="667F358A" w14:textId="77777777" w:rsidR="00607276" w:rsidRPr="001904D5" w:rsidRDefault="00607276" w:rsidP="000A5E57"/>
        </w:tc>
      </w:tr>
      <w:tr w:rsidR="00607276" w:rsidRPr="001904D5" w14:paraId="215A950D" w14:textId="77777777" w:rsidTr="000A5E57">
        <w:trPr>
          <w:jc w:val="center"/>
        </w:trPr>
        <w:tc>
          <w:tcPr>
            <w:tcW w:w="1885" w:type="dxa"/>
          </w:tcPr>
          <w:p w14:paraId="653FA702" w14:textId="77777777" w:rsidR="00607276" w:rsidRPr="001904D5" w:rsidRDefault="00607276" w:rsidP="000A5E57">
            <w:r w:rsidRPr="001904D5">
              <w:t>II (fair)</w:t>
            </w:r>
          </w:p>
        </w:tc>
        <w:tc>
          <w:tcPr>
            <w:tcW w:w="6930" w:type="dxa"/>
          </w:tcPr>
          <w:p w14:paraId="55F6DAA2" w14:textId="77777777" w:rsidR="00607276" w:rsidRPr="001904D5" w:rsidRDefault="00607276" w:rsidP="000A5E57">
            <w:pPr>
              <w:rPr>
                <w:b/>
              </w:rPr>
            </w:pPr>
            <w:r w:rsidRPr="001904D5">
              <w:rPr>
                <w:b/>
              </w:rPr>
              <w:t>Input estimate based on…</w:t>
            </w:r>
          </w:p>
          <w:p w14:paraId="7A2E49B2" w14:textId="77777777" w:rsidR="00607276" w:rsidRPr="001904D5" w:rsidRDefault="00607276" w:rsidP="000A5E57">
            <w:r w:rsidRPr="001904D5">
              <w:t xml:space="preserve">Consistent and geographically widespread data from convenience samples </w:t>
            </w:r>
          </w:p>
          <w:p w14:paraId="5CCE317E" w14:textId="77777777" w:rsidR="00607276" w:rsidRPr="001904D5" w:rsidRDefault="00607276" w:rsidP="000A5E57">
            <w:pPr>
              <w:rPr>
                <w:b/>
              </w:rPr>
            </w:pPr>
            <w:r w:rsidRPr="001904D5">
              <w:rPr>
                <w:b/>
              </w:rPr>
              <w:t xml:space="preserve">OR </w:t>
            </w:r>
          </w:p>
          <w:p w14:paraId="6D4D841D" w14:textId="77777777" w:rsidR="00607276" w:rsidRPr="001904D5" w:rsidRDefault="00607276" w:rsidP="000A5E57">
            <w:r w:rsidRPr="001904D5">
              <w:t>Consistent and geographically widespread, although incomplete, national reporting</w:t>
            </w:r>
          </w:p>
          <w:p w14:paraId="51D24877" w14:textId="77777777" w:rsidR="00607276" w:rsidRPr="001904D5" w:rsidRDefault="00607276" w:rsidP="000A5E57">
            <w:pPr>
              <w:rPr>
                <w:b/>
              </w:rPr>
            </w:pPr>
            <w:r w:rsidRPr="001904D5">
              <w:rPr>
                <w:b/>
              </w:rPr>
              <w:t>OR</w:t>
            </w:r>
          </w:p>
          <w:p w14:paraId="0B32E7DB" w14:textId="77777777" w:rsidR="00607276" w:rsidRPr="001904D5" w:rsidRDefault="00607276" w:rsidP="000A5E57">
            <w:r w:rsidRPr="001904D5">
              <w:t>Extrapolations and assumptions based on representative national studies or consistent, although incomplete, national reporting</w:t>
            </w:r>
          </w:p>
          <w:p w14:paraId="3AF5823E" w14:textId="77777777" w:rsidR="00607276" w:rsidRPr="001904D5" w:rsidRDefault="00607276" w:rsidP="000A5E57"/>
          <w:p w14:paraId="77925B83" w14:textId="77777777" w:rsidR="00607276" w:rsidRPr="001904D5" w:rsidRDefault="00607276" w:rsidP="000A5E57">
            <w:r w:rsidRPr="001904D5">
              <w:t>Confidence in the input estimate may be constrained by such factors as: the number, size, or quality of individual studies; inconsistency of findings across individual studies; and limited generalizability of findings to general population.</w:t>
            </w:r>
          </w:p>
          <w:p w14:paraId="44CDAC5F" w14:textId="77777777" w:rsidR="00607276" w:rsidRPr="001904D5" w:rsidRDefault="00607276" w:rsidP="000A5E57"/>
        </w:tc>
      </w:tr>
      <w:tr w:rsidR="00607276" w:rsidRPr="001904D5" w14:paraId="0F0577C9" w14:textId="77777777" w:rsidTr="000A5E57">
        <w:trPr>
          <w:jc w:val="center"/>
        </w:trPr>
        <w:tc>
          <w:tcPr>
            <w:tcW w:w="1885" w:type="dxa"/>
            <w:tcBorders>
              <w:bottom w:val="single" w:sz="12" w:space="0" w:color="auto"/>
            </w:tcBorders>
            <w:shd w:val="clear" w:color="auto" w:fill="F2F2F2" w:themeFill="background1" w:themeFillShade="F2"/>
          </w:tcPr>
          <w:p w14:paraId="2B14D3B7" w14:textId="77777777" w:rsidR="00607276" w:rsidRPr="001904D5" w:rsidRDefault="00607276" w:rsidP="000A5E57">
            <w:r w:rsidRPr="001904D5">
              <w:t>III (poor)</w:t>
            </w:r>
          </w:p>
        </w:tc>
        <w:tc>
          <w:tcPr>
            <w:tcW w:w="6930" w:type="dxa"/>
            <w:tcBorders>
              <w:bottom w:val="single" w:sz="12" w:space="0" w:color="auto"/>
            </w:tcBorders>
            <w:shd w:val="clear" w:color="auto" w:fill="F2F2F2" w:themeFill="background1" w:themeFillShade="F2"/>
          </w:tcPr>
          <w:p w14:paraId="590ACB9A" w14:textId="77777777" w:rsidR="00607276" w:rsidRPr="001904D5" w:rsidRDefault="00607276" w:rsidP="000A5E57">
            <w:pPr>
              <w:rPr>
                <w:b/>
              </w:rPr>
            </w:pPr>
            <w:r w:rsidRPr="001904D5">
              <w:rPr>
                <w:b/>
              </w:rPr>
              <w:t>Input estimate based on…</w:t>
            </w:r>
          </w:p>
          <w:p w14:paraId="0E31AEA9" w14:textId="77777777" w:rsidR="00607276" w:rsidRPr="001904D5" w:rsidRDefault="00607276" w:rsidP="000A5E57">
            <w:r w:rsidRPr="001904D5">
              <w:t xml:space="preserve">Inconsistent or unstable estimates from nationally representative studies </w:t>
            </w:r>
            <w:r w:rsidRPr="001904D5">
              <w:rPr>
                <w:b/>
              </w:rPr>
              <w:t>OR</w:t>
            </w:r>
          </w:p>
          <w:p w14:paraId="23064976" w14:textId="77777777" w:rsidR="00607276" w:rsidRPr="001904D5" w:rsidRDefault="00607276" w:rsidP="000A5E57">
            <w:r w:rsidRPr="001904D5">
              <w:t>Incomplete national data</w:t>
            </w:r>
          </w:p>
          <w:p w14:paraId="433CF2F5" w14:textId="77777777" w:rsidR="00607276" w:rsidRPr="001904D5" w:rsidRDefault="00607276" w:rsidP="000A5E57">
            <w:pPr>
              <w:rPr>
                <w:b/>
              </w:rPr>
            </w:pPr>
            <w:r w:rsidRPr="001904D5">
              <w:rPr>
                <w:b/>
              </w:rPr>
              <w:t>OR</w:t>
            </w:r>
          </w:p>
          <w:p w14:paraId="14417899" w14:textId="77777777" w:rsidR="00607276" w:rsidRPr="001904D5" w:rsidRDefault="00607276" w:rsidP="000A5E57">
            <w:r w:rsidRPr="001904D5">
              <w:t>Inconsistent data from small convenience samples</w:t>
            </w:r>
          </w:p>
          <w:p w14:paraId="2EBC4606" w14:textId="77777777" w:rsidR="00607276" w:rsidRPr="001904D5" w:rsidRDefault="00607276" w:rsidP="000A5E57">
            <w:pPr>
              <w:rPr>
                <w:b/>
              </w:rPr>
            </w:pPr>
            <w:r w:rsidRPr="001904D5">
              <w:rPr>
                <w:b/>
              </w:rPr>
              <w:t xml:space="preserve">OR </w:t>
            </w:r>
          </w:p>
          <w:p w14:paraId="07D70FC0" w14:textId="77777777" w:rsidR="00607276" w:rsidRPr="001904D5" w:rsidRDefault="00607276" w:rsidP="000A5E57">
            <w:r w:rsidRPr="001904D5">
              <w:t>Rough extrapolations, expert opinion</w:t>
            </w:r>
          </w:p>
          <w:p w14:paraId="6083FBBC" w14:textId="77777777" w:rsidR="00607276" w:rsidRPr="001904D5" w:rsidRDefault="00607276" w:rsidP="000A5E57"/>
          <w:p w14:paraId="425D43F9" w14:textId="77777777" w:rsidR="00607276" w:rsidRPr="001904D5" w:rsidRDefault="00607276" w:rsidP="000A5E57">
            <w:r w:rsidRPr="001904D5">
              <w:t>Evidence is insufficient because of limited number or size of studies; important flaws in study design or methods; and findings that are not generalizable to general population.</w:t>
            </w:r>
          </w:p>
        </w:tc>
      </w:tr>
    </w:tbl>
    <w:p w14:paraId="5FD102B4" w14:textId="3A5EEDF1" w:rsidR="00607276" w:rsidRPr="001904D5" w:rsidRDefault="00607276">
      <w:pPr>
        <w:rPr>
          <w:rFonts w:cstheme="minorHAnsi"/>
          <w:bCs/>
          <w:sz w:val="24"/>
          <w:szCs w:val="24"/>
        </w:rPr>
      </w:pPr>
      <w:r w:rsidRPr="001904D5">
        <w:rPr>
          <w:rFonts w:cstheme="minorHAnsi"/>
          <w:b/>
          <w:sz w:val="24"/>
          <w:szCs w:val="24"/>
        </w:rPr>
        <w:t xml:space="preserve">* </w:t>
      </w:r>
      <w:r w:rsidRPr="001904D5">
        <w:rPr>
          <w:rFonts w:cstheme="minorHAnsi"/>
          <w:bCs/>
          <w:sz w:val="24"/>
          <w:szCs w:val="24"/>
        </w:rPr>
        <w:t>Rating scale adapted from</w:t>
      </w:r>
      <w:r w:rsidR="000C795F" w:rsidRPr="001904D5">
        <w:rPr>
          <w:rFonts w:cstheme="minorHAnsi"/>
          <w:bCs/>
          <w:sz w:val="24"/>
          <w:szCs w:val="24"/>
        </w:rPr>
        <w:t xml:space="preserve"> (2</w:t>
      </w:r>
      <w:r w:rsidR="0077645F">
        <w:rPr>
          <w:rFonts w:cstheme="minorHAnsi"/>
          <w:bCs/>
          <w:sz w:val="24"/>
          <w:szCs w:val="24"/>
        </w:rPr>
        <w:t>4</w:t>
      </w:r>
      <w:r w:rsidR="000C795F" w:rsidRPr="001904D5">
        <w:rPr>
          <w:rFonts w:cstheme="minorHAnsi"/>
          <w:bCs/>
          <w:sz w:val="24"/>
          <w:szCs w:val="24"/>
        </w:rPr>
        <w:t>, 2</w:t>
      </w:r>
      <w:r w:rsidR="0077645F">
        <w:rPr>
          <w:rFonts w:cstheme="minorHAnsi"/>
          <w:bCs/>
          <w:sz w:val="24"/>
          <w:szCs w:val="24"/>
        </w:rPr>
        <w:t>5</w:t>
      </w:r>
      <w:r w:rsidR="000C795F" w:rsidRPr="001904D5">
        <w:rPr>
          <w:rFonts w:cstheme="minorHAnsi"/>
          <w:bCs/>
          <w:sz w:val="24"/>
          <w:szCs w:val="24"/>
        </w:rPr>
        <w:t>)</w:t>
      </w:r>
      <w:r w:rsidRPr="001904D5">
        <w:rPr>
          <w:rFonts w:cstheme="minorHAnsi"/>
          <w:bCs/>
          <w:sz w:val="24"/>
          <w:szCs w:val="24"/>
        </w:rPr>
        <w:t>.</w:t>
      </w:r>
    </w:p>
    <w:p w14:paraId="7061A56E" w14:textId="2C035FF8" w:rsidR="00607276" w:rsidRPr="001904D5" w:rsidRDefault="00650135" w:rsidP="00593B48">
      <w:pPr>
        <w:spacing w:after="0" w:line="480" w:lineRule="auto"/>
        <w:rPr>
          <w:rFonts w:cstheme="minorHAnsi"/>
          <w:b/>
          <w:sz w:val="24"/>
          <w:szCs w:val="24"/>
          <w:u w:val="single"/>
        </w:rPr>
      </w:pPr>
      <w:r w:rsidRPr="001904D5">
        <w:rPr>
          <w:rFonts w:cstheme="minorHAnsi"/>
          <w:b/>
          <w:sz w:val="24"/>
          <w:szCs w:val="24"/>
          <w:u w:val="single"/>
        </w:rPr>
        <w:lastRenderedPageBreak/>
        <w:t>References</w:t>
      </w:r>
    </w:p>
    <w:p w14:paraId="7994C94C" w14:textId="31658EFE" w:rsidR="00C26AE2" w:rsidRPr="001904D5" w:rsidRDefault="00E36C0A" w:rsidP="00593B48">
      <w:pPr>
        <w:pStyle w:val="ListParagraph"/>
        <w:numPr>
          <w:ilvl w:val="0"/>
          <w:numId w:val="32"/>
        </w:numPr>
        <w:spacing w:after="0" w:line="480" w:lineRule="auto"/>
        <w:ind w:left="360"/>
        <w:rPr>
          <w:rFonts w:cstheme="minorHAnsi"/>
          <w:bCs/>
          <w:sz w:val="24"/>
          <w:szCs w:val="24"/>
        </w:rPr>
      </w:pPr>
      <w:r w:rsidRPr="001904D5">
        <w:rPr>
          <w:rFonts w:cstheme="minorHAnsi"/>
          <w:sz w:val="24"/>
          <w:szCs w:val="24"/>
        </w:rPr>
        <w:t xml:space="preserve">US Census Bureau. American Community Survey, 2018 American Community Survey 1-Year Estimates, Table S0201. Generated by Kristen Kreisel using American </w:t>
      </w:r>
      <w:proofErr w:type="spellStart"/>
      <w:r w:rsidRPr="001904D5">
        <w:rPr>
          <w:rFonts w:cstheme="minorHAnsi"/>
          <w:sz w:val="24"/>
          <w:szCs w:val="24"/>
        </w:rPr>
        <w:t>FactFinder</w:t>
      </w:r>
      <w:proofErr w:type="spellEnd"/>
      <w:r w:rsidRPr="001904D5">
        <w:rPr>
          <w:rFonts w:cstheme="minorHAnsi"/>
          <w:sz w:val="24"/>
          <w:szCs w:val="24"/>
        </w:rPr>
        <w:t xml:space="preserve"> </w:t>
      </w:r>
      <w:hyperlink r:id="rId10" w:history="1">
        <w:r w:rsidRPr="001904D5">
          <w:rPr>
            <w:rStyle w:val="Hyperlink"/>
            <w:rFonts w:cstheme="minorHAnsi"/>
            <w:sz w:val="24"/>
            <w:szCs w:val="24"/>
          </w:rPr>
          <w:t>http://factfinder.census.gov</w:t>
        </w:r>
      </w:hyperlink>
      <w:r w:rsidRPr="001904D5">
        <w:rPr>
          <w:rFonts w:cstheme="minorHAnsi"/>
          <w:sz w:val="24"/>
          <w:szCs w:val="24"/>
        </w:rPr>
        <w:t xml:space="preserve"> (18 February 2020).</w:t>
      </w:r>
    </w:p>
    <w:p w14:paraId="5667AA50" w14:textId="72763C77" w:rsidR="00C26AE2" w:rsidRPr="001904D5" w:rsidRDefault="00E84153" w:rsidP="00593B48">
      <w:pPr>
        <w:pStyle w:val="ListParagraph"/>
        <w:numPr>
          <w:ilvl w:val="0"/>
          <w:numId w:val="32"/>
        </w:numPr>
        <w:spacing w:after="0" w:line="480" w:lineRule="auto"/>
        <w:ind w:left="360"/>
        <w:rPr>
          <w:rFonts w:cstheme="minorHAnsi"/>
          <w:bCs/>
          <w:sz w:val="24"/>
          <w:szCs w:val="24"/>
        </w:rPr>
      </w:pPr>
      <w:r w:rsidRPr="001904D5">
        <w:rPr>
          <w:sz w:val="24"/>
          <w:szCs w:val="24"/>
        </w:rPr>
        <w:t>Centers for Disease Control and Prevention</w:t>
      </w:r>
      <w:r w:rsidRPr="001904D5">
        <w:rPr>
          <w:b/>
          <w:sz w:val="24"/>
          <w:szCs w:val="24"/>
        </w:rPr>
        <w:t>.</w:t>
      </w:r>
      <w:r w:rsidRPr="001904D5">
        <w:rPr>
          <w:sz w:val="24"/>
          <w:szCs w:val="24"/>
        </w:rPr>
        <w:t xml:space="preserve"> Sexually Transmitted Disease Surveillance 2018. Atlanta: U.S. Department of Health and Human Services; 2019.</w:t>
      </w:r>
    </w:p>
    <w:p w14:paraId="3CFAA2B5" w14:textId="7CB775AC" w:rsidR="003A079B" w:rsidRPr="001904D5" w:rsidRDefault="003A079B" w:rsidP="00593B48">
      <w:pPr>
        <w:pStyle w:val="ListParagraph"/>
        <w:numPr>
          <w:ilvl w:val="0"/>
          <w:numId w:val="32"/>
        </w:numPr>
        <w:spacing w:after="0" w:line="480" w:lineRule="auto"/>
        <w:ind w:left="360"/>
        <w:rPr>
          <w:rFonts w:cstheme="minorHAnsi"/>
          <w:bCs/>
          <w:sz w:val="24"/>
          <w:szCs w:val="24"/>
        </w:rPr>
      </w:pPr>
      <w:r w:rsidRPr="001904D5">
        <w:rPr>
          <w:sz w:val="24"/>
          <w:szCs w:val="24"/>
        </w:rPr>
        <w:t>Learner ER, Torrone EA, Fine JP, et al.</w:t>
      </w:r>
      <w:r w:rsidRPr="001904D5">
        <w:rPr>
          <w:b/>
          <w:sz w:val="24"/>
          <w:szCs w:val="24"/>
        </w:rPr>
        <w:t xml:space="preserve"> </w:t>
      </w:r>
      <w:r w:rsidRPr="001904D5">
        <w:rPr>
          <w:sz w:val="24"/>
          <w:szCs w:val="24"/>
        </w:rPr>
        <w:t xml:space="preserve">Chlamydia prevalence trends among women and men entering the National Job Training Program from 1990 through 2012. Sex </w:t>
      </w:r>
      <w:proofErr w:type="spellStart"/>
      <w:r w:rsidRPr="001904D5">
        <w:rPr>
          <w:sz w:val="24"/>
          <w:szCs w:val="24"/>
        </w:rPr>
        <w:t>Transm</w:t>
      </w:r>
      <w:proofErr w:type="spellEnd"/>
      <w:r w:rsidRPr="001904D5">
        <w:rPr>
          <w:sz w:val="24"/>
          <w:szCs w:val="24"/>
        </w:rPr>
        <w:t xml:space="preserve"> Dis 2018; 45(8): 554-559.</w:t>
      </w:r>
    </w:p>
    <w:p w14:paraId="252A4BA9" w14:textId="3194A5A7" w:rsidR="002D6B14" w:rsidRPr="001904D5" w:rsidRDefault="002D6B14" w:rsidP="00593B48">
      <w:pPr>
        <w:pStyle w:val="ListParagraph"/>
        <w:numPr>
          <w:ilvl w:val="0"/>
          <w:numId w:val="32"/>
        </w:numPr>
        <w:spacing w:after="0" w:line="480" w:lineRule="auto"/>
        <w:ind w:left="360"/>
        <w:rPr>
          <w:rFonts w:cstheme="minorHAnsi"/>
          <w:bCs/>
          <w:sz w:val="24"/>
          <w:szCs w:val="24"/>
        </w:rPr>
      </w:pPr>
      <w:r w:rsidRPr="001904D5">
        <w:rPr>
          <w:sz w:val="24"/>
          <w:szCs w:val="24"/>
        </w:rPr>
        <w:t xml:space="preserve">Farley TA, Cohen DA, Elkins W. Asymptomatic sexually transmitted diseases: the case for screening. </w:t>
      </w:r>
      <w:proofErr w:type="spellStart"/>
      <w:r w:rsidRPr="001904D5">
        <w:rPr>
          <w:sz w:val="24"/>
          <w:szCs w:val="24"/>
        </w:rPr>
        <w:t>Prev</w:t>
      </w:r>
      <w:proofErr w:type="spellEnd"/>
      <w:r w:rsidRPr="001904D5">
        <w:rPr>
          <w:sz w:val="24"/>
          <w:szCs w:val="24"/>
        </w:rPr>
        <w:t xml:space="preserve"> Med 2003; 36(4): 502-509.</w:t>
      </w:r>
    </w:p>
    <w:p w14:paraId="2EA3CD50" w14:textId="153D81C1" w:rsidR="002D6B14" w:rsidRPr="001904D5" w:rsidRDefault="002D6B14" w:rsidP="00593B48">
      <w:pPr>
        <w:pStyle w:val="ListParagraph"/>
        <w:numPr>
          <w:ilvl w:val="0"/>
          <w:numId w:val="32"/>
        </w:numPr>
        <w:spacing w:after="0" w:line="480" w:lineRule="auto"/>
        <w:ind w:left="360"/>
        <w:rPr>
          <w:rFonts w:cstheme="minorHAnsi"/>
          <w:bCs/>
          <w:sz w:val="24"/>
          <w:szCs w:val="24"/>
        </w:rPr>
      </w:pPr>
      <w:r w:rsidRPr="001904D5">
        <w:rPr>
          <w:sz w:val="24"/>
          <w:szCs w:val="24"/>
        </w:rPr>
        <w:t xml:space="preserve">National Center for Health Statistics. 2018. 2015-2017 National Survey of Family Growth Public Use Data and Documentation. Hyattsville, MD: CDC National Center for Health Statistics. Available at: </w:t>
      </w:r>
      <w:hyperlink r:id="rId11" w:history="1">
        <w:r w:rsidRPr="001904D5">
          <w:rPr>
            <w:rStyle w:val="Hyperlink"/>
            <w:sz w:val="24"/>
            <w:szCs w:val="24"/>
          </w:rPr>
          <w:t>https://www.cdc.gov/nchs/nsfg/nsfg_2015_2017_puf.htm</w:t>
        </w:r>
      </w:hyperlink>
      <w:r w:rsidRPr="001904D5">
        <w:rPr>
          <w:sz w:val="24"/>
          <w:szCs w:val="24"/>
        </w:rPr>
        <w:t>. Accessed August 5, 2020.</w:t>
      </w:r>
    </w:p>
    <w:p w14:paraId="37ECAEDF" w14:textId="0C9ADDDE" w:rsidR="00C26AE2" w:rsidRPr="001904D5" w:rsidRDefault="00DA3016" w:rsidP="00593B48">
      <w:pPr>
        <w:pStyle w:val="ListParagraph"/>
        <w:numPr>
          <w:ilvl w:val="0"/>
          <w:numId w:val="32"/>
        </w:numPr>
        <w:spacing w:after="0" w:line="480" w:lineRule="auto"/>
        <w:ind w:left="360"/>
        <w:rPr>
          <w:rFonts w:cstheme="minorHAnsi"/>
          <w:bCs/>
          <w:sz w:val="24"/>
          <w:szCs w:val="24"/>
        </w:rPr>
      </w:pPr>
      <w:r w:rsidRPr="001904D5">
        <w:rPr>
          <w:rFonts w:cstheme="minorHAnsi"/>
          <w:color w:val="000000"/>
          <w:sz w:val="24"/>
          <w:szCs w:val="24"/>
          <w:shd w:val="clear" w:color="auto" w:fill="FFFFFF"/>
        </w:rPr>
        <w:t xml:space="preserve">Centers for Disease Control and Prevention. National Center for Health Statistics. National Health and Nutrition Examination Survey Data. Hyattsville, MD: US Department of Health and Human Services, Centers for Disease Control and Prevention, 2015-2016. Available at: </w:t>
      </w:r>
      <w:hyperlink r:id="rId12" w:history="1">
        <w:r w:rsidRPr="001904D5">
          <w:rPr>
            <w:rStyle w:val="Hyperlink"/>
            <w:rFonts w:cstheme="minorHAnsi"/>
            <w:sz w:val="24"/>
            <w:szCs w:val="24"/>
          </w:rPr>
          <w:t>https://wwwn.cdc.gov/nchs/nhanes/Search/DataPage.aspx?Component=Laboratory&amp;CycleBeginYear=2015</w:t>
        </w:r>
      </w:hyperlink>
      <w:r w:rsidRPr="001904D5">
        <w:rPr>
          <w:rFonts w:cstheme="minorHAnsi"/>
          <w:sz w:val="24"/>
          <w:szCs w:val="24"/>
        </w:rPr>
        <w:t>. Accessed July 1, 2020.</w:t>
      </w:r>
    </w:p>
    <w:p w14:paraId="41492B73" w14:textId="666DD609" w:rsidR="00C26AE2" w:rsidRPr="00150966" w:rsidRDefault="005B03ED" w:rsidP="00593B48">
      <w:pPr>
        <w:pStyle w:val="ListParagraph"/>
        <w:numPr>
          <w:ilvl w:val="0"/>
          <w:numId w:val="32"/>
        </w:numPr>
        <w:spacing w:after="0" w:line="480" w:lineRule="auto"/>
        <w:ind w:left="360"/>
        <w:rPr>
          <w:rFonts w:cstheme="minorHAnsi"/>
          <w:bCs/>
          <w:sz w:val="24"/>
          <w:szCs w:val="24"/>
        </w:rPr>
      </w:pPr>
      <w:r w:rsidRPr="001904D5">
        <w:rPr>
          <w:rFonts w:cstheme="minorHAnsi"/>
          <w:color w:val="000000"/>
          <w:sz w:val="24"/>
          <w:szCs w:val="24"/>
          <w:shd w:val="clear" w:color="auto" w:fill="FFFFFF"/>
        </w:rPr>
        <w:t xml:space="preserve">Centers for Disease Control and Prevention. National Center for Health Statistics. National Health and Nutrition Examination Survey Data. Hyattsville, MD: US Department of Health </w:t>
      </w:r>
      <w:r w:rsidRPr="001904D5">
        <w:rPr>
          <w:rFonts w:cstheme="minorHAnsi"/>
          <w:color w:val="000000"/>
          <w:sz w:val="24"/>
          <w:szCs w:val="24"/>
          <w:shd w:val="clear" w:color="auto" w:fill="FFFFFF"/>
        </w:rPr>
        <w:lastRenderedPageBreak/>
        <w:t xml:space="preserve">and Human Services, Centers for Disease Control and Prevention, 2017-2018. Available at: </w:t>
      </w:r>
      <w:hyperlink r:id="rId13" w:history="1">
        <w:r w:rsidRPr="001904D5">
          <w:rPr>
            <w:rStyle w:val="Hyperlink"/>
            <w:rFonts w:cstheme="minorHAnsi"/>
            <w:sz w:val="24"/>
            <w:szCs w:val="24"/>
          </w:rPr>
          <w:t>https://wwwn.cdc.gov/nchs/nhanes/Search/DataPage.aspx?Component=Laboratory&amp;CycleBeginYear=2017</w:t>
        </w:r>
      </w:hyperlink>
      <w:r w:rsidRPr="001904D5">
        <w:rPr>
          <w:rFonts w:cstheme="minorHAnsi"/>
          <w:sz w:val="24"/>
          <w:szCs w:val="24"/>
        </w:rPr>
        <w:t>. Accessed July 1, 2020</w:t>
      </w:r>
      <w:r w:rsidRPr="001904D5">
        <w:rPr>
          <w:sz w:val="24"/>
          <w:szCs w:val="24"/>
        </w:rPr>
        <w:t>.</w:t>
      </w:r>
    </w:p>
    <w:p w14:paraId="5B35F636"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rFonts w:cstheme="minorHAnsi"/>
          <w:sz w:val="24"/>
          <w:szCs w:val="24"/>
        </w:rPr>
        <w:t>Centers for Disease Control and Prevention. 2020. Gonococcal Isolate Surveillance Project (GISP) and Enhanced GISP (</w:t>
      </w:r>
      <w:proofErr w:type="spellStart"/>
      <w:r w:rsidRPr="001904D5">
        <w:rPr>
          <w:rFonts w:cstheme="minorHAnsi"/>
          <w:sz w:val="24"/>
          <w:szCs w:val="24"/>
        </w:rPr>
        <w:t>eGISP</w:t>
      </w:r>
      <w:proofErr w:type="spellEnd"/>
      <w:r w:rsidRPr="001904D5">
        <w:rPr>
          <w:rFonts w:cstheme="minorHAnsi"/>
          <w:sz w:val="24"/>
          <w:szCs w:val="24"/>
        </w:rPr>
        <w:t xml:space="preserve">): Protocol. </w:t>
      </w:r>
      <w:r w:rsidRPr="001904D5">
        <w:rPr>
          <w:sz w:val="24"/>
          <w:szCs w:val="24"/>
        </w:rPr>
        <w:t>Available at</w:t>
      </w:r>
      <w:r w:rsidRPr="001904D5">
        <w:rPr>
          <w:rFonts w:cstheme="minorHAnsi"/>
          <w:sz w:val="24"/>
          <w:szCs w:val="24"/>
        </w:rPr>
        <w:t xml:space="preserve">: </w:t>
      </w:r>
      <w:hyperlink r:id="rId14" w:history="1">
        <w:r w:rsidRPr="001904D5">
          <w:rPr>
            <w:rStyle w:val="Hyperlink"/>
            <w:rFonts w:cstheme="minorHAnsi"/>
            <w:sz w:val="24"/>
            <w:szCs w:val="24"/>
          </w:rPr>
          <w:t>https://www.cdc.gov/std/gisp/GISP_eGISP_Protocol_January_2020.pdf</w:t>
        </w:r>
      </w:hyperlink>
      <w:r w:rsidRPr="001904D5">
        <w:rPr>
          <w:rFonts w:cstheme="minorHAnsi"/>
          <w:sz w:val="24"/>
          <w:szCs w:val="24"/>
        </w:rPr>
        <w:t>. Accessed August 5, 2020</w:t>
      </w:r>
      <w:r w:rsidRPr="001904D5">
        <w:rPr>
          <w:sz w:val="24"/>
          <w:szCs w:val="24"/>
        </w:rPr>
        <w:t>.</w:t>
      </w:r>
    </w:p>
    <w:p w14:paraId="4033542D"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Clinical and Laboratory Standards Institute</w:t>
      </w:r>
      <w:r w:rsidRPr="001904D5">
        <w:rPr>
          <w:b/>
          <w:sz w:val="24"/>
          <w:szCs w:val="24"/>
        </w:rPr>
        <w:t>.</w:t>
      </w:r>
      <w:r w:rsidRPr="001904D5">
        <w:rPr>
          <w:sz w:val="24"/>
          <w:szCs w:val="24"/>
        </w:rPr>
        <w:t xml:space="preserve"> </w:t>
      </w:r>
      <w:r w:rsidRPr="001904D5">
        <w:rPr>
          <w:i/>
          <w:iCs/>
          <w:sz w:val="24"/>
          <w:szCs w:val="24"/>
        </w:rPr>
        <w:t>Performance Standards for Antimicrobial Susceptibility Testing</w:t>
      </w:r>
      <w:r w:rsidRPr="001904D5">
        <w:rPr>
          <w:sz w:val="24"/>
          <w:szCs w:val="24"/>
        </w:rPr>
        <w:t>. 30th ed. CLSI supplement M100. Wayne, PA: Clinical and Laboratory Standards Institute; 2020.</w:t>
      </w:r>
    </w:p>
    <w:p w14:paraId="0C312508"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 xml:space="preserve">St Cyr S, Barbee L, </w:t>
      </w:r>
      <w:proofErr w:type="spellStart"/>
      <w:r w:rsidRPr="001904D5">
        <w:rPr>
          <w:sz w:val="24"/>
          <w:szCs w:val="24"/>
        </w:rPr>
        <w:t>Workowski</w:t>
      </w:r>
      <w:proofErr w:type="spellEnd"/>
      <w:r w:rsidRPr="001904D5">
        <w:rPr>
          <w:sz w:val="24"/>
          <w:szCs w:val="24"/>
        </w:rPr>
        <w:t xml:space="preserve"> KA, et al.</w:t>
      </w:r>
      <w:r w:rsidRPr="001904D5">
        <w:rPr>
          <w:b/>
          <w:sz w:val="24"/>
          <w:szCs w:val="24"/>
        </w:rPr>
        <w:t xml:space="preserve"> </w:t>
      </w:r>
      <w:r w:rsidRPr="001904D5">
        <w:rPr>
          <w:sz w:val="24"/>
          <w:szCs w:val="24"/>
        </w:rPr>
        <w:t xml:space="preserve">Update to CDC's treatment guidelines for gonococcal infection, 2020. MMWR </w:t>
      </w:r>
      <w:proofErr w:type="spellStart"/>
      <w:r w:rsidRPr="001904D5">
        <w:rPr>
          <w:sz w:val="24"/>
          <w:szCs w:val="24"/>
        </w:rPr>
        <w:t>Morb</w:t>
      </w:r>
      <w:proofErr w:type="spellEnd"/>
      <w:r w:rsidRPr="001904D5">
        <w:rPr>
          <w:sz w:val="24"/>
          <w:szCs w:val="24"/>
        </w:rPr>
        <w:t xml:space="preserve"> Mort </w:t>
      </w:r>
      <w:proofErr w:type="spellStart"/>
      <w:r w:rsidRPr="001904D5">
        <w:rPr>
          <w:sz w:val="24"/>
          <w:szCs w:val="24"/>
        </w:rPr>
        <w:t>Wkly</w:t>
      </w:r>
      <w:proofErr w:type="spellEnd"/>
      <w:r w:rsidRPr="001904D5">
        <w:rPr>
          <w:sz w:val="24"/>
          <w:szCs w:val="24"/>
        </w:rPr>
        <w:t xml:space="preserve"> Rep 2020; 69(50): 1911-1916.</w:t>
      </w:r>
    </w:p>
    <w:p w14:paraId="54665FD9"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 xml:space="preserve">McCormack WM, Alpert S, </w:t>
      </w:r>
      <w:proofErr w:type="spellStart"/>
      <w:r w:rsidRPr="001904D5">
        <w:rPr>
          <w:sz w:val="24"/>
          <w:szCs w:val="24"/>
        </w:rPr>
        <w:t>McComb</w:t>
      </w:r>
      <w:proofErr w:type="spellEnd"/>
      <w:r w:rsidRPr="001904D5">
        <w:rPr>
          <w:sz w:val="24"/>
          <w:szCs w:val="24"/>
        </w:rPr>
        <w:t xml:space="preserve"> DE, et al</w:t>
      </w:r>
      <w:r w:rsidRPr="001904D5">
        <w:rPr>
          <w:b/>
          <w:sz w:val="24"/>
          <w:szCs w:val="24"/>
        </w:rPr>
        <w:t xml:space="preserve">. </w:t>
      </w:r>
      <w:r w:rsidRPr="001904D5">
        <w:rPr>
          <w:sz w:val="24"/>
          <w:szCs w:val="24"/>
        </w:rPr>
        <w:t xml:space="preserve">Fifteen-month follow-up study of women infected with </w:t>
      </w:r>
      <w:r w:rsidRPr="001904D5">
        <w:rPr>
          <w:i/>
          <w:sz w:val="24"/>
          <w:szCs w:val="24"/>
        </w:rPr>
        <w:t>Chlamydia trachomatis</w:t>
      </w:r>
      <w:r w:rsidRPr="001904D5">
        <w:rPr>
          <w:sz w:val="24"/>
          <w:szCs w:val="24"/>
        </w:rPr>
        <w:t xml:space="preserve">. New </w:t>
      </w:r>
      <w:proofErr w:type="spellStart"/>
      <w:r w:rsidRPr="001904D5">
        <w:rPr>
          <w:sz w:val="24"/>
          <w:szCs w:val="24"/>
        </w:rPr>
        <w:t>Engl</w:t>
      </w:r>
      <w:proofErr w:type="spellEnd"/>
      <w:r w:rsidRPr="001904D5">
        <w:rPr>
          <w:sz w:val="24"/>
          <w:szCs w:val="24"/>
        </w:rPr>
        <w:t xml:space="preserve"> J Med 1979; 300(3): 123-125.</w:t>
      </w:r>
    </w:p>
    <w:p w14:paraId="7677EDA8"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Parks KS, Dixon PB, Richey CM, et al</w:t>
      </w:r>
      <w:r w:rsidRPr="001904D5">
        <w:rPr>
          <w:b/>
          <w:sz w:val="24"/>
          <w:szCs w:val="24"/>
        </w:rPr>
        <w:t xml:space="preserve">. </w:t>
      </w:r>
      <w:r w:rsidRPr="001904D5">
        <w:rPr>
          <w:sz w:val="24"/>
          <w:szCs w:val="24"/>
        </w:rPr>
        <w:t xml:space="preserve">Spontaneous clearance of </w:t>
      </w:r>
      <w:r w:rsidRPr="001904D5">
        <w:rPr>
          <w:i/>
          <w:iCs/>
          <w:sz w:val="24"/>
          <w:szCs w:val="24"/>
        </w:rPr>
        <w:t>Chlamydia trachomatis</w:t>
      </w:r>
      <w:r w:rsidRPr="001904D5">
        <w:rPr>
          <w:sz w:val="24"/>
          <w:szCs w:val="24"/>
        </w:rPr>
        <w:t xml:space="preserve"> infection in untreated patients. Sex </w:t>
      </w:r>
      <w:proofErr w:type="spellStart"/>
      <w:r w:rsidRPr="001904D5">
        <w:rPr>
          <w:sz w:val="24"/>
          <w:szCs w:val="24"/>
        </w:rPr>
        <w:t>Transm</w:t>
      </w:r>
      <w:proofErr w:type="spellEnd"/>
      <w:r w:rsidRPr="001904D5">
        <w:rPr>
          <w:sz w:val="24"/>
          <w:szCs w:val="24"/>
        </w:rPr>
        <w:t xml:space="preserve"> Dis 1997; 24(4): 229-235.</w:t>
      </w:r>
    </w:p>
    <w:p w14:paraId="71E54076"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Joyner JJ, Douglas JM, Foster M, et al</w:t>
      </w:r>
      <w:r w:rsidRPr="001904D5">
        <w:rPr>
          <w:b/>
          <w:sz w:val="24"/>
          <w:szCs w:val="24"/>
        </w:rPr>
        <w:t xml:space="preserve">. </w:t>
      </w:r>
      <w:r w:rsidRPr="001904D5">
        <w:rPr>
          <w:sz w:val="24"/>
          <w:szCs w:val="24"/>
        </w:rPr>
        <w:t xml:space="preserve">Persistence of </w:t>
      </w:r>
      <w:r w:rsidRPr="001904D5">
        <w:rPr>
          <w:i/>
          <w:sz w:val="24"/>
          <w:szCs w:val="24"/>
        </w:rPr>
        <w:t>Chlamydia trachomatis</w:t>
      </w:r>
      <w:r w:rsidRPr="001904D5">
        <w:rPr>
          <w:sz w:val="24"/>
          <w:szCs w:val="24"/>
        </w:rPr>
        <w:t xml:space="preserve"> infection detected by polymerase chain reaction in untreated patients. Sex </w:t>
      </w:r>
      <w:proofErr w:type="spellStart"/>
      <w:r w:rsidRPr="001904D5">
        <w:rPr>
          <w:sz w:val="24"/>
          <w:szCs w:val="24"/>
        </w:rPr>
        <w:t>Transm</w:t>
      </w:r>
      <w:proofErr w:type="spellEnd"/>
      <w:r w:rsidRPr="001904D5">
        <w:rPr>
          <w:sz w:val="24"/>
          <w:szCs w:val="24"/>
        </w:rPr>
        <w:t xml:space="preserve"> Dis 2002; 29(4): 196-200.</w:t>
      </w:r>
    </w:p>
    <w:p w14:paraId="02E6E795"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 xml:space="preserve">van den Brule AJ, Munk C, </w:t>
      </w:r>
      <w:proofErr w:type="spellStart"/>
      <w:r w:rsidRPr="001904D5">
        <w:rPr>
          <w:sz w:val="24"/>
          <w:szCs w:val="24"/>
        </w:rPr>
        <w:t>Winther</w:t>
      </w:r>
      <w:proofErr w:type="spellEnd"/>
      <w:r w:rsidRPr="001904D5">
        <w:rPr>
          <w:sz w:val="24"/>
          <w:szCs w:val="24"/>
        </w:rPr>
        <w:t xml:space="preserve"> JF, et al.</w:t>
      </w:r>
      <w:r w:rsidRPr="001904D5">
        <w:rPr>
          <w:b/>
          <w:sz w:val="24"/>
          <w:szCs w:val="24"/>
        </w:rPr>
        <w:t xml:space="preserve"> </w:t>
      </w:r>
      <w:r w:rsidRPr="001904D5">
        <w:rPr>
          <w:sz w:val="24"/>
          <w:szCs w:val="24"/>
        </w:rPr>
        <w:t xml:space="preserve">Prevalence and persistence of asymptomatic </w:t>
      </w:r>
      <w:r w:rsidRPr="001904D5">
        <w:rPr>
          <w:i/>
          <w:sz w:val="24"/>
          <w:szCs w:val="24"/>
        </w:rPr>
        <w:t>Chlamydia trachomatis</w:t>
      </w:r>
      <w:r w:rsidRPr="001904D5">
        <w:rPr>
          <w:sz w:val="24"/>
          <w:szCs w:val="24"/>
        </w:rPr>
        <w:t xml:space="preserve"> infections in urine specimens from Danish male military recruits. Int J STD AIDS 2002; 13(Suppl 2): 19-22.</w:t>
      </w:r>
    </w:p>
    <w:p w14:paraId="6F4EE437"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proofErr w:type="spellStart"/>
      <w:r w:rsidRPr="001904D5">
        <w:rPr>
          <w:sz w:val="24"/>
          <w:szCs w:val="24"/>
        </w:rPr>
        <w:lastRenderedPageBreak/>
        <w:t>Morre</w:t>
      </w:r>
      <w:proofErr w:type="spellEnd"/>
      <w:r w:rsidRPr="001904D5">
        <w:rPr>
          <w:sz w:val="24"/>
          <w:szCs w:val="24"/>
        </w:rPr>
        <w:t xml:space="preserve"> SA, van den Brule AJ, </w:t>
      </w:r>
      <w:proofErr w:type="spellStart"/>
      <w:r w:rsidRPr="001904D5">
        <w:rPr>
          <w:sz w:val="24"/>
          <w:szCs w:val="24"/>
        </w:rPr>
        <w:t>Rozendaal</w:t>
      </w:r>
      <w:proofErr w:type="spellEnd"/>
      <w:r w:rsidRPr="001904D5">
        <w:rPr>
          <w:sz w:val="24"/>
          <w:szCs w:val="24"/>
        </w:rPr>
        <w:t xml:space="preserve"> L, et al.</w:t>
      </w:r>
      <w:r w:rsidRPr="001904D5">
        <w:rPr>
          <w:b/>
          <w:sz w:val="24"/>
          <w:szCs w:val="24"/>
        </w:rPr>
        <w:t xml:space="preserve"> </w:t>
      </w:r>
      <w:r w:rsidRPr="001904D5">
        <w:rPr>
          <w:sz w:val="24"/>
          <w:szCs w:val="24"/>
        </w:rPr>
        <w:t xml:space="preserve">The natural course of asymptomatic </w:t>
      </w:r>
      <w:r w:rsidRPr="001904D5">
        <w:rPr>
          <w:i/>
          <w:sz w:val="24"/>
          <w:szCs w:val="24"/>
        </w:rPr>
        <w:t>Chlamydia trachomatis</w:t>
      </w:r>
      <w:r w:rsidRPr="001904D5">
        <w:rPr>
          <w:sz w:val="24"/>
          <w:szCs w:val="24"/>
        </w:rPr>
        <w:t xml:space="preserve"> infections: 45% clearance and no development of clinical PID after one-year follow-up. Int J STD AIDS 2002; 13(Suppl 2): 12-18.</w:t>
      </w:r>
    </w:p>
    <w:p w14:paraId="40960ED0"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 xml:space="preserve">Sheffield JS, Andrews WW, </w:t>
      </w:r>
      <w:proofErr w:type="spellStart"/>
      <w:r w:rsidRPr="001904D5">
        <w:rPr>
          <w:sz w:val="24"/>
          <w:szCs w:val="24"/>
        </w:rPr>
        <w:t>Klebanoff</w:t>
      </w:r>
      <w:proofErr w:type="spellEnd"/>
      <w:r w:rsidRPr="001904D5">
        <w:rPr>
          <w:sz w:val="24"/>
          <w:szCs w:val="24"/>
        </w:rPr>
        <w:t xml:space="preserve"> MA, et al.</w:t>
      </w:r>
      <w:r w:rsidRPr="001904D5">
        <w:rPr>
          <w:b/>
          <w:sz w:val="24"/>
          <w:szCs w:val="24"/>
        </w:rPr>
        <w:t xml:space="preserve"> </w:t>
      </w:r>
      <w:r w:rsidRPr="001904D5">
        <w:rPr>
          <w:sz w:val="24"/>
          <w:szCs w:val="24"/>
        </w:rPr>
        <w:t xml:space="preserve">Spontaneous resolution of asymptomatic </w:t>
      </w:r>
      <w:r w:rsidRPr="001904D5">
        <w:rPr>
          <w:i/>
          <w:sz w:val="24"/>
          <w:szCs w:val="24"/>
        </w:rPr>
        <w:t xml:space="preserve">Chlamydia trachomatis </w:t>
      </w:r>
      <w:r w:rsidRPr="001904D5">
        <w:rPr>
          <w:sz w:val="24"/>
          <w:szCs w:val="24"/>
        </w:rPr>
        <w:t xml:space="preserve">in pregnancy. </w:t>
      </w:r>
      <w:proofErr w:type="spellStart"/>
      <w:r w:rsidRPr="001904D5">
        <w:rPr>
          <w:sz w:val="24"/>
          <w:szCs w:val="24"/>
        </w:rPr>
        <w:t>Obstet</w:t>
      </w:r>
      <w:proofErr w:type="spellEnd"/>
      <w:r w:rsidRPr="001904D5">
        <w:rPr>
          <w:sz w:val="24"/>
          <w:szCs w:val="24"/>
        </w:rPr>
        <w:t xml:space="preserve"> </w:t>
      </w:r>
      <w:proofErr w:type="spellStart"/>
      <w:r w:rsidRPr="001904D5">
        <w:rPr>
          <w:sz w:val="24"/>
          <w:szCs w:val="24"/>
        </w:rPr>
        <w:t>Gynecol</w:t>
      </w:r>
      <w:proofErr w:type="spellEnd"/>
      <w:r w:rsidRPr="001904D5">
        <w:rPr>
          <w:sz w:val="24"/>
          <w:szCs w:val="24"/>
        </w:rPr>
        <w:t xml:space="preserve"> 2005; 105(3): 557-562.</w:t>
      </w:r>
    </w:p>
    <w:p w14:paraId="57C323A4"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proofErr w:type="spellStart"/>
      <w:r w:rsidRPr="001904D5">
        <w:rPr>
          <w:sz w:val="24"/>
          <w:szCs w:val="24"/>
        </w:rPr>
        <w:t>Molano</w:t>
      </w:r>
      <w:proofErr w:type="spellEnd"/>
      <w:r w:rsidRPr="001904D5">
        <w:rPr>
          <w:sz w:val="24"/>
          <w:szCs w:val="24"/>
        </w:rPr>
        <w:t xml:space="preserve"> M, Meijer CJ, </w:t>
      </w:r>
      <w:proofErr w:type="spellStart"/>
      <w:r w:rsidRPr="001904D5">
        <w:rPr>
          <w:sz w:val="24"/>
          <w:szCs w:val="24"/>
        </w:rPr>
        <w:t>Weiderpass</w:t>
      </w:r>
      <w:proofErr w:type="spellEnd"/>
      <w:r w:rsidRPr="001904D5">
        <w:rPr>
          <w:sz w:val="24"/>
          <w:szCs w:val="24"/>
        </w:rPr>
        <w:t xml:space="preserve"> E, et al.</w:t>
      </w:r>
      <w:r w:rsidRPr="001904D5">
        <w:rPr>
          <w:b/>
          <w:sz w:val="24"/>
          <w:szCs w:val="24"/>
        </w:rPr>
        <w:t xml:space="preserve"> </w:t>
      </w:r>
      <w:r w:rsidRPr="001904D5">
        <w:rPr>
          <w:sz w:val="24"/>
          <w:szCs w:val="24"/>
        </w:rPr>
        <w:t xml:space="preserve">The natural course of </w:t>
      </w:r>
      <w:r w:rsidRPr="001904D5">
        <w:rPr>
          <w:i/>
          <w:sz w:val="24"/>
          <w:szCs w:val="24"/>
        </w:rPr>
        <w:t>Chlamydia trachomatis</w:t>
      </w:r>
      <w:r w:rsidRPr="001904D5">
        <w:rPr>
          <w:sz w:val="24"/>
          <w:szCs w:val="24"/>
        </w:rPr>
        <w:t xml:space="preserve"> infection in asymptomatic Colombian women: a 5-year follow-up study. J Inf Dis 2005; 191(6): 907-916.</w:t>
      </w:r>
    </w:p>
    <w:p w14:paraId="743B41DC"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Geisler WM, Wang C, Morrison SG, et al</w:t>
      </w:r>
      <w:r w:rsidRPr="001904D5">
        <w:rPr>
          <w:b/>
          <w:sz w:val="24"/>
          <w:szCs w:val="24"/>
        </w:rPr>
        <w:t xml:space="preserve">. </w:t>
      </w:r>
      <w:r w:rsidRPr="001904D5">
        <w:rPr>
          <w:sz w:val="24"/>
          <w:szCs w:val="24"/>
        </w:rPr>
        <w:t xml:space="preserve">The natural history of untreated </w:t>
      </w:r>
      <w:r w:rsidRPr="001904D5">
        <w:rPr>
          <w:i/>
          <w:sz w:val="24"/>
          <w:szCs w:val="24"/>
        </w:rPr>
        <w:t>Chlamydia trachomatis</w:t>
      </w:r>
      <w:r w:rsidRPr="001904D5">
        <w:rPr>
          <w:sz w:val="24"/>
          <w:szCs w:val="24"/>
        </w:rPr>
        <w:t xml:space="preserve"> infection in the interval between screening and returning for treatment. Sex </w:t>
      </w:r>
      <w:proofErr w:type="spellStart"/>
      <w:r w:rsidRPr="001904D5">
        <w:rPr>
          <w:sz w:val="24"/>
          <w:szCs w:val="24"/>
        </w:rPr>
        <w:t>Transm</w:t>
      </w:r>
      <w:proofErr w:type="spellEnd"/>
      <w:r w:rsidRPr="001904D5">
        <w:rPr>
          <w:sz w:val="24"/>
          <w:szCs w:val="24"/>
        </w:rPr>
        <w:t xml:space="preserve"> Dis 2008; 35(2): 119-123.</w:t>
      </w:r>
    </w:p>
    <w:p w14:paraId="205A9BB8" w14:textId="77777777" w:rsidR="00731DB4" w:rsidRPr="001904D5" w:rsidRDefault="00731DB4" w:rsidP="00731DB4">
      <w:pPr>
        <w:pStyle w:val="ListParagraph"/>
        <w:numPr>
          <w:ilvl w:val="0"/>
          <w:numId w:val="32"/>
        </w:numPr>
        <w:spacing w:after="0" w:line="480" w:lineRule="auto"/>
        <w:ind w:left="360"/>
        <w:rPr>
          <w:rFonts w:cstheme="minorHAnsi"/>
          <w:bCs/>
          <w:sz w:val="24"/>
          <w:szCs w:val="24"/>
        </w:rPr>
      </w:pPr>
      <w:r w:rsidRPr="001904D5">
        <w:rPr>
          <w:sz w:val="24"/>
          <w:szCs w:val="24"/>
        </w:rPr>
        <w:t>Rogers S, Miller W, Turner C, et al.</w:t>
      </w:r>
      <w:r w:rsidRPr="001904D5">
        <w:rPr>
          <w:b/>
          <w:sz w:val="24"/>
          <w:szCs w:val="24"/>
        </w:rPr>
        <w:t xml:space="preserve"> </w:t>
      </w:r>
      <w:r w:rsidRPr="001904D5">
        <w:rPr>
          <w:sz w:val="24"/>
          <w:szCs w:val="24"/>
        </w:rPr>
        <w:t xml:space="preserve">Concordance of </w:t>
      </w:r>
      <w:r w:rsidRPr="001904D5">
        <w:rPr>
          <w:i/>
          <w:sz w:val="24"/>
          <w:szCs w:val="24"/>
        </w:rPr>
        <w:t>Chlamydia trachomatis</w:t>
      </w:r>
      <w:r w:rsidRPr="001904D5">
        <w:rPr>
          <w:sz w:val="24"/>
          <w:szCs w:val="24"/>
        </w:rPr>
        <w:t xml:space="preserve"> infections within sexual partnerships. Sex </w:t>
      </w:r>
      <w:proofErr w:type="spellStart"/>
      <w:r w:rsidRPr="001904D5">
        <w:rPr>
          <w:sz w:val="24"/>
          <w:szCs w:val="24"/>
        </w:rPr>
        <w:t>Transm</w:t>
      </w:r>
      <w:proofErr w:type="spellEnd"/>
      <w:r w:rsidRPr="001904D5">
        <w:rPr>
          <w:sz w:val="24"/>
          <w:szCs w:val="24"/>
        </w:rPr>
        <w:t xml:space="preserve"> Infect 2008; 84(1): 23-28.</w:t>
      </w:r>
    </w:p>
    <w:p w14:paraId="1EB90079" w14:textId="6923AA4D" w:rsidR="007E4D69" w:rsidRPr="001904D5" w:rsidRDefault="007E4D69" w:rsidP="00593B48">
      <w:pPr>
        <w:pStyle w:val="ListParagraph"/>
        <w:numPr>
          <w:ilvl w:val="0"/>
          <w:numId w:val="32"/>
        </w:numPr>
        <w:spacing w:after="0" w:line="480" w:lineRule="auto"/>
        <w:ind w:left="360"/>
        <w:rPr>
          <w:rFonts w:cstheme="minorHAnsi"/>
          <w:bCs/>
          <w:sz w:val="24"/>
          <w:szCs w:val="24"/>
        </w:rPr>
      </w:pPr>
      <w:proofErr w:type="spellStart"/>
      <w:r w:rsidRPr="00150966">
        <w:rPr>
          <w:sz w:val="24"/>
          <w:szCs w:val="24"/>
        </w:rPr>
        <w:t>Stupiansky</w:t>
      </w:r>
      <w:proofErr w:type="spellEnd"/>
      <w:r w:rsidRPr="00150966">
        <w:rPr>
          <w:sz w:val="24"/>
          <w:szCs w:val="24"/>
        </w:rPr>
        <w:t xml:space="preserve"> NW, Van der Pol B, Williams JA, et al</w:t>
      </w:r>
      <w:r w:rsidRPr="00150966">
        <w:rPr>
          <w:b/>
          <w:sz w:val="24"/>
          <w:szCs w:val="24"/>
        </w:rPr>
        <w:t xml:space="preserve">. </w:t>
      </w:r>
      <w:r w:rsidRPr="001904D5">
        <w:rPr>
          <w:sz w:val="24"/>
          <w:szCs w:val="24"/>
        </w:rPr>
        <w:t xml:space="preserve">The natural history of incident gonococcal infection in adolescent women. Sex </w:t>
      </w:r>
      <w:proofErr w:type="spellStart"/>
      <w:r w:rsidRPr="001904D5">
        <w:rPr>
          <w:sz w:val="24"/>
          <w:szCs w:val="24"/>
        </w:rPr>
        <w:t>Transm</w:t>
      </w:r>
      <w:proofErr w:type="spellEnd"/>
      <w:r w:rsidRPr="001904D5">
        <w:rPr>
          <w:sz w:val="24"/>
          <w:szCs w:val="24"/>
        </w:rPr>
        <w:t xml:space="preserve"> Dis 2011; 38(8): 750-754.</w:t>
      </w:r>
    </w:p>
    <w:p w14:paraId="0CCD31BB" w14:textId="77777777" w:rsidR="00110FCB" w:rsidRPr="001904D5" w:rsidRDefault="00110FCB" w:rsidP="00110FCB">
      <w:pPr>
        <w:pStyle w:val="ListParagraph"/>
        <w:numPr>
          <w:ilvl w:val="0"/>
          <w:numId w:val="32"/>
        </w:numPr>
        <w:spacing w:after="0" w:line="480" w:lineRule="auto"/>
        <w:ind w:left="360"/>
        <w:rPr>
          <w:rFonts w:cstheme="minorHAnsi"/>
          <w:bCs/>
          <w:sz w:val="24"/>
          <w:szCs w:val="24"/>
        </w:rPr>
      </w:pPr>
      <w:r w:rsidRPr="001904D5">
        <w:rPr>
          <w:sz w:val="24"/>
          <w:szCs w:val="24"/>
        </w:rPr>
        <w:t xml:space="preserve">Handsfield HH, Lipman TO, </w:t>
      </w:r>
      <w:proofErr w:type="spellStart"/>
      <w:r w:rsidRPr="001904D5">
        <w:rPr>
          <w:sz w:val="24"/>
          <w:szCs w:val="24"/>
        </w:rPr>
        <w:t>Harnisch</w:t>
      </w:r>
      <w:proofErr w:type="spellEnd"/>
      <w:r w:rsidRPr="001904D5">
        <w:rPr>
          <w:sz w:val="24"/>
          <w:szCs w:val="24"/>
        </w:rPr>
        <w:t xml:space="preserve"> JP, et al</w:t>
      </w:r>
      <w:r w:rsidRPr="001904D5">
        <w:rPr>
          <w:b/>
          <w:sz w:val="24"/>
          <w:szCs w:val="24"/>
        </w:rPr>
        <w:t xml:space="preserve">. </w:t>
      </w:r>
      <w:r w:rsidRPr="001904D5">
        <w:rPr>
          <w:sz w:val="24"/>
          <w:szCs w:val="24"/>
        </w:rPr>
        <w:t xml:space="preserve">Asymptomatic gonorrhea in men. Diagnosis, natural course, prevalence and significance. New </w:t>
      </w:r>
      <w:proofErr w:type="spellStart"/>
      <w:r w:rsidRPr="001904D5">
        <w:rPr>
          <w:sz w:val="24"/>
          <w:szCs w:val="24"/>
        </w:rPr>
        <w:t>Engl</w:t>
      </w:r>
      <w:proofErr w:type="spellEnd"/>
      <w:r w:rsidRPr="001904D5">
        <w:rPr>
          <w:sz w:val="24"/>
          <w:szCs w:val="24"/>
        </w:rPr>
        <w:t xml:space="preserve"> J Med 1974; 290(3): 117-123.</w:t>
      </w:r>
    </w:p>
    <w:p w14:paraId="36F994CC" w14:textId="77777777" w:rsidR="00110FCB" w:rsidRPr="001904D5" w:rsidRDefault="00110FCB" w:rsidP="00110FCB">
      <w:pPr>
        <w:pStyle w:val="ListParagraph"/>
        <w:numPr>
          <w:ilvl w:val="0"/>
          <w:numId w:val="32"/>
        </w:numPr>
        <w:spacing w:after="0" w:line="480" w:lineRule="auto"/>
        <w:ind w:left="360"/>
        <w:rPr>
          <w:rFonts w:cstheme="minorHAnsi"/>
          <w:bCs/>
          <w:sz w:val="24"/>
          <w:szCs w:val="24"/>
        </w:rPr>
      </w:pPr>
      <w:r w:rsidRPr="001904D5">
        <w:rPr>
          <w:sz w:val="24"/>
          <w:szCs w:val="24"/>
        </w:rPr>
        <w:t xml:space="preserve">Portnoy J, Mendelson J, </w:t>
      </w:r>
      <w:proofErr w:type="spellStart"/>
      <w:r w:rsidRPr="001904D5">
        <w:rPr>
          <w:sz w:val="24"/>
          <w:szCs w:val="24"/>
        </w:rPr>
        <w:t>Clecner</w:t>
      </w:r>
      <w:proofErr w:type="spellEnd"/>
      <w:r w:rsidRPr="001904D5">
        <w:rPr>
          <w:sz w:val="24"/>
          <w:szCs w:val="24"/>
        </w:rPr>
        <w:t xml:space="preserve"> B, et al</w:t>
      </w:r>
      <w:r w:rsidRPr="001904D5">
        <w:rPr>
          <w:b/>
          <w:sz w:val="24"/>
          <w:szCs w:val="24"/>
        </w:rPr>
        <w:t xml:space="preserve">. </w:t>
      </w:r>
      <w:r w:rsidRPr="001904D5">
        <w:rPr>
          <w:sz w:val="24"/>
          <w:szCs w:val="24"/>
        </w:rPr>
        <w:t>Asymptomatic gonorrhea in the male. Can Med Assoc J 1974; 110(2): 169-171.</w:t>
      </w:r>
    </w:p>
    <w:p w14:paraId="4F1A84DC" w14:textId="1B7C7444" w:rsidR="007E4D69" w:rsidRPr="001904D5" w:rsidRDefault="007E4D69" w:rsidP="00593B48">
      <w:pPr>
        <w:pStyle w:val="ListParagraph"/>
        <w:numPr>
          <w:ilvl w:val="0"/>
          <w:numId w:val="32"/>
        </w:numPr>
        <w:spacing w:after="0" w:line="480" w:lineRule="auto"/>
        <w:ind w:left="360"/>
        <w:rPr>
          <w:rFonts w:cstheme="minorHAnsi"/>
          <w:bCs/>
          <w:sz w:val="24"/>
          <w:szCs w:val="24"/>
        </w:rPr>
      </w:pPr>
      <w:proofErr w:type="spellStart"/>
      <w:r w:rsidRPr="001904D5">
        <w:rPr>
          <w:sz w:val="24"/>
          <w:szCs w:val="24"/>
        </w:rPr>
        <w:t>Korenromp</w:t>
      </w:r>
      <w:proofErr w:type="spellEnd"/>
      <w:r w:rsidRPr="001904D5">
        <w:rPr>
          <w:sz w:val="24"/>
          <w:szCs w:val="24"/>
        </w:rPr>
        <w:t xml:space="preserve"> EL, </w:t>
      </w:r>
      <w:proofErr w:type="spellStart"/>
      <w:r w:rsidRPr="001904D5">
        <w:rPr>
          <w:sz w:val="24"/>
          <w:szCs w:val="24"/>
        </w:rPr>
        <w:t>Sudaryo</w:t>
      </w:r>
      <w:proofErr w:type="spellEnd"/>
      <w:r w:rsidRPr="001904D5">
        <w:rPr>
          <w:sz w:val="24"/>
          <w:szCs w:val="24"/>
        </w:rPr>
        <w:t xml:space="preserve"> MK, de </w:t>
      </w:r>
      <w:proofErr w:type="spellStart"/>
      <w:r w:rsidRPr="001904D5">
        <w:rPr>
          <w:sz w:val="24"/>
          <w:szCs w:val="24"/>
        </w:rPr>
        <w:t>Vlas</w:t>
      </w:r>
      <w:proofErr w:type="spellEnd"/>
      <w:r w:rsidRPr="001904D5">
        <w:rPr>
          <w:sz w:val="24"/>
          <w:szCs w:val="24"/>
        </w:rPr>
        <w:t xml:space="preserve"> SJ, et al.</w:t>
      </w:r>
      <w:r w:rsidRPr="001904D5">
        <w:rPr>
          <w:b/>
          <w:sz w:val="24"/>
          <w:szCs w:val="24"/>
        </w:rPr>
        <w:t xml:space="preserve"> </w:t>
      </w:r>
      <w:r w:rsidRPr="001904D5">
        <w:rPr>
          <w:sz w:val="24"/>
          <w:szCs w:val="24"/>
        </w:rPr>
        <w:t xml:space="preserve">What proportion of episodes of </w:t>
      </w:r>
      <w:proofErr w:type="spellStart"/>
      <w:r w:rsidRPr="001904D5">
        <w:rPr>
          <w:sz w:val="24"/>
          <w:szCs w:val="24"/>
        </w:rPr>
        <w:t>gonorrhoea</w:t>
      </w:r>
      <w:proofErr w:type="spellEnd"/>
      <w:r w:rsidRPr="001904D5">
        <w:rPr>
          <w:sz w:val="24"/>
          <w:szCs w:val="24"/>
        </w:rPr>
        <w:t xml:space="preserve"> and chlamydia becomes symptomatic? Int J STD AIDS 2002; 13(2): 91-101.</w:t>
      </w:r>
    </w:p>
    <w:p w14:paraId="233F8856" w14:textId="434AE638" w:rsidR="004238EF" w:rsidRPr="001904D5" w:rsidRDefault="004238EF" w:rsidP="00593B48">
      <w:pPr>
        <w:pStyle w:val="ListParagraph"/>
        <w:numPr>
          <w:ilvl w:val="0"/>
          <w:numId w:val="32"/>
        </w:numPr>
        <w:spacing w:after="0" w:line="480" w:lineRule="auto"/>
        <w:ind w:left="360"/>
        <w:rPr>
          <w:rFonts w:cstheme="minorHAnsi"/>
          <w:bCs/>
          <w:sz w:val="24"/>
          <w:szCs w:val="24"/>
        </w:rPr>
      </w:pPr>
      <w:r w:rsidRPr="001904D5">
        <w:rPr>
          <w:rFonts w:cstheme="minorHAnsi"/>
          <w:sz w:val="24"/>
          <w:szCs w:val="24"/>
        </w:rPr>
        <w:lastRenderedPageBreak/>
        <w:t xml:space="preserve">Satterwhite CL, Torrone E, </w:t>
      </w:r>
      <w:proofErr w:type="spellStart"/>
      <w:r w:rsidRPr="001904D5">
        <w:rPr>
          <w:rFonts w:cstheme="minorHAnsi"/>
          <w:sz w:val="24"/>
          <w:szCs w:val="24"/>
        </w:rPr>
        <w:t>Meites</w:t>
      </w:r>
      <w:proofErr w:type="spellEnd"/>
      <w:r w:rsidRPr="001904D5">
        <w:rPr>
          <w:rFonts w:cstheme="minorHAnsi"/>
          <w:sz w:val="24"/>
          <w:szCs w:val="24"/>
        </w:rPr>
        <w:t xml:space="preserve"> E, et al.</w:t>
      </w:r>
      <w:r w:rsidRPr="001904D5">
        <w:rPr>
          <w:rFonts w:cstheme="minorHAnsi"/>
          <w:b/>
          <w:sz w:val="24"/>
          <w:szCs w:val="24"/>
        </w:rPr>
        <w:t xml:space="preserve"> </w:t>
      </w:r>
      <w:r w:rsidRPr="001904D5">
        <w:rPr>
          <w:rFonts w:cstheme="minorHAnsi"/>
          <w:sz w:val="24"/>
          <w:szCs w:val="24"/>
        </w:rPr>
        <w:t xml:space="preserve">Sexually transmitted infections among US women and men: prevalence and incidence estimates, 2008. Sex </w:t>
      </w:r>
      <w:proofErr w:type="spellStart"/>
      <w:r w:rsidRPr="001904D5">
        <w:rPr>
          <w:rFonts w:cstheme="minorHAnsi"/>
          <w:sz w:val="24"/>
          <w:szCs w:val="24"/>
        </w:rPr>
        <w:t>Transm</w:t>
      </w:r>
      <w:proofErr w:type="spellEnd"/>
      <w:r w:rsidRPr="001904D5">
        <w:rPr>
          <w:rFonts w:cstheme="minorHAnsi"/>
          <w:sz w:val="24"/>
          <w:szCs w:val="24"/>
        </w:rPr>
        <w:t xml:space="preserve"> Dis 2013; 40(3): 187-193</w:t>
      </w:r>
      <w:r w:rsidRPr="001904D5">
        <w:rPr>
          <w:sz w:val="24"/>
          <w:szCs w:val="24"/>
        </w:rPr>
        <w:t>.</w:t>
      </w:r>
    </w:p>
    <w:p w14:paraId="2EDFFB90" w14:textId="64A64A5E" w:rsidR="00171F75" w:rsidRPr="00171F75" w:rsidRDefault="004238EF" w:rsidP="00171F75">
      <w:pPr>
        <w:pStyle w:val="ListParagraph"/>
        <w:numPr>
          <w:ilvl w:val="0"/>
          <w:numId w:val="32"/>
        </w:numPr>
        <w:spacing w:after="0" w:line="480" w:lineRule="auto"/>
        <w:ind w:left="360"/>
        <w:rPr>
          <w:rFonts w:cstheme="minorHAnsi"/>
          <w:bCs/>
          <w:sz w:val="24"/>
          <w:szCs w:val="24"/>
        </w:rPr>
      </w:pPr>
      <w:r w:rsidRPr="00171F75">
        <w:rPr>
          <w:noProof/>
          <w:sz w:val="24"/>
          <w:szCs w:val="24"/>
        </w:rPr>
        <w:t>LeFevre ML</w:t>
      </w:r>
      <w:r w:rsidRPr="00171F75">
        <w:rPr>
          <w:b/>
          <w:noProof/>
          <w:sz w:val="24"/>
          <w:szCs w:val="24"/>
        </w:rPr>
        <w:t xml:space="preserve">. </w:t>
      </w:r>
      <w:r w:rsidRPr="00171F75">
        <w:rPr>
          <w:noProof/>
          <w:sz w:val="24"/>
          <w:szCs w:val="24"/>
        </w:rPr>
        <w:t xml:space="preserve">Screening for chlamydia and gonorrhea: U.S. Preventive Services Task Force </w:t>
      </w:r>
      <w:r w:rsidR="00171F75" w:rsidRPr="00171F75">
        <w:rPr>
          <w:noProof/>
          <w:sz w:val="24"/>
          <w:szCs w:val="24"/>
        </w:rPr>
        <w:t>r</w:t>
      </w:r>
      <w:r w:rsidRPr="00171F75">
        <w:rPr>
          <w:noProof/>
          <w:sz w:val="24"/>
          <w:szCs w:val="24"/>
        </w:rPr>
        <w:t>ecommendation statement. Ann Intern Med 2014; 161: 902-910.</w:t>
      </w:r>
      <w:r w:rsidR="0068595A" w:rsidRPr="00171F75">
        <w:rPr>
          <w:rFonts w:ascii="Calibri" w:hAnsi="Calibri" w:cstheme="minorHAnsi"/>
          <w:b/>
          <w:bCs/>
          <w:noProof/>
          <w:sz w:val="24"/>
          <w:szCs w:val="24"/>
        </w:rPr>
        <w:fldChar w:fldCharType="begin"/>
      </w:r>
      <w:r w:rsidR="0068595A" w:rsidRPr="00171F75">
        <w:rPr>
          <w:rFonts w:cstheme="minorHAnsi"/>
          <w:b/>
          <w:bCs/>
          <w:sz w:val="24"/>
          <w:szCs w:val="24"/>
        </w:rPr>
        <w:instrText xml:space="preserve"> ADDIN EN.REFLIST </w:instrText>
      </w:r>
      <w:r w:rsidR="0068595A" w:rsidRPr="00171F75">
        <w:rPr>
          <w:rFonts w:ascii="Calibri" w:hAnsi="Calibri" w:cstheme="minorHAnsi"/>
          <w:b/>
          <w:bCs/>
          <w:noProof/>
          <w:sz w:val="24"/>
          <w:szCs w:val="24"/>
        </w:rPr>
        <w:fldChar w:fldCharType="end"/>
      </w:r>
    </w:p>
    <w:sectPr w:rsidR="00171F75" w:rsidRPr="00171F75" w:rsidSect="00C8114C">
      <w:footerReference w:type="default" r:id="rId15"/>
      <w:pgSz w:w="12240" w:h="15840"/>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D96B218" w14:textId="77777777" w:rsidR="00781DE9" w:rsidRDefault="00781DE9" w:rsidP="00607276">
      <w:pPr>
        <w:spacing w:after="0" w:line="240" w:lineRule="auto"/>
      </w:pPr>
      <w:r>
        <w:separator/>
      </w:r>
    </w:p>
  </w:endnote>
  <w:endnote w:type="continuationSeparator" w:id="0">
    <w:p w14:paraId="13E74627" w14:textId="77777777" w:rsidR="00781DE9" w:rsidRDefault="00781DE9" w:rsidP="00607276">
      <w:pPr>
        <w:spacing w:after="0" w:line="240" w:lineRule="auto"/>
      </w:pPr>
      <w:r>
        <w:continuationSeparator/>
      </w:r>
    </w:p>
  </w:endnote>
  <w:endnote w:type="continuationNotice" w:id="1">
    <w:p w14:paraId="4BD63475" w14:textId="77777777" w:rsidR="00781DE9" w:rsidRDefault="00781DE9">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55185967"/>
      <w:docPartObj>
        <w:docPartGallery w:val="Page Numbers (Bottom of Page)"/>
        <w:docPartUnique/>
      </w:docPartObj>
    </w:sdtPr>
    <w:sdtEndPr>
      <w:rPr>
        <w:noProof/>
      </w:rPr>
    </w:sdtEndPr>
    <w:sdtContent>
      <w:p w14:paraId="03D4D384" w14:textId="77777777" w:rsidR="00607276" w:rsidRDefault="00607276">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16C32069" w14:textId="77777777" w:rsidR="00607276" w:rsidRDefault="006072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2E6F54" w14:textId="77777777" w:rsidR="00781DE9" w:rsidRDefault="00781DE9" w:rsidP="00607276">
      <w:pPr>
        <w:spacing w:after="0" w:line="240" w:lineRule="auto"/>
      </w:pPr>
      <w:r>
        <w:separator/>
      </w:r>
    </w:p>
  </w:footnote>
  <w:footnote w:type="continuationSeparator" w:id="0">
    <w:p w14:paraId="4963829F" w14:textId="77777777" w:rsidR="00781DE9" w:rsidRDefault="00781DE9" w:rsidP="00607276">
      <w:pPr>
        <w:spacing w:after="0" w:line="240" w:lineRule="auto"/>
      </w:pPr>
      <w:r>
        <w:continuationSeparator/>
      </w:r>
    </w:p>
  </w:footnote>
  <w:footnote w:type="continuationNotice" w:id="1">
    <w:p w14:paraId="7D45905B" w14:textId="77777777" w:rsidR="00781DE9" w:rsidRDefault="00781DE9">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A513A3"/>
    <w:multiLevelType w:val="multilevel"/>
    <w:tmpl w:val="382A19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o"/>
      <w:lvlJc w:val="left"/>
      <w:pPr>
        <w:tabs>
          <w:tab w:val="num" w:pos="2880"/>
        </w:tabs>
        <w:ind w:left="2880" w:hanging="360"/>
      </w:pPr>
      <w:rPr>
        <w:rFonts w:ascii="Courier New" w:hAnsi="Courier New" w:cs="Courier New" w:hint="default"/>
        <w:sz w:val="20"/>
      </w:rPr>
    </w:lvl>
    <w:lvl w:ilvl="4">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85A076D"/>
    <w:multiLevelType w:val="hybridMultilevel"/>
    <w:tmpl w:val="251E689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FD623D"/>
    <w:multiLevelType w:val="hybridMultilevel"/>
    <w:tmpl w:val="9F9EFD70"/>
    <w:lvl w:ilvl="0" w:tplc="47A26156">
      <w:start w:val="1"/>
      <w:numFmt w:val="decimal"/>
      <w:lvlText w:val="%1."/>
      <w:lvlJc w:val="left"/>
      <w:pPr>
        <w:ind w:left="720" w:hanging="360"/>
      </w:pPr>
      <w:rPr>
        <w:rFonts w:asciiTheme="minorHAnsi" w:hAnsiTheme="minorHAnsi" w:cstheme="minorHAnsi" w:hint="default"/>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4823749"/>
    <w:multiLevelType w:val="hybridMultilevel"/>
    <w:tmpl w:val="4258B82C"/>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 w15:restartNumberingAfterBreak="0">
    <w:nsid w:val="26EE38A6"/>
    <w:multiLevelType w:val="hybridMultilevel"/>
    <w:tmpl w:val="29646E34"/>
    <w:lvl w:ilvl="0" w:tplc="93DAB668">
      <w:numFmt w:val="bullet"/>
      <w:lvlText w:val=""/>
      <w:lvlJc w:val="left"/>
      <w:pPr>
        <w:ind w:left="720" w:hanging="360"/>
      </w:pPr>
      <w:rPr>
        <w:rFonts w:ascii="Symbol" w:eastAsiaTheme="minorHAnsi" w:hAnsi="Symbol" w:cstheme="minorHAns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246953"/>
    <w:multiLevelType w:val="hybridMultilevel"/>
    <w:tmpl w:val="B8F419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E7457D5"/>
    <w:multiLevelType w:val="hybridMultilevel"/>
    <w:tmpl w:val="D05ACAD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3D11D13"/>
    <w:multiLevelType w:val="hybridMultilevel"/>
    <w:tmpl w:val="47E2F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56C2E63"/>
    <w:multiLevelType w:val="hybridMultilevel"/>
    <w:tmpl w:val="B0A062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8C0053CC">
      <w:start w:val="2015"/>
      <w:numFmt w:val="bullet"/>
      <w:lvlText w:val=""/>
      <w:lvlJc w:val="left"/>
      <w:pPr>
        <w:ind w:left="2160" w:hanging="360"/>
      </w:pPr>
      <w:rPr>
        <w:rFonts w:ascii="Wingdings" w:eastAsiaTheme="minorHAnsi" w:hAnsi="Wingdings" w:cstheme="minorHAnsi"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033DB8"/>
    <w:multiLevelType w:val="hybridMultilevel"/>
    <w:tmpl w:val="FF642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9180D35"/>
    <w:multiLevelType w:val="hybridMultilevel"/>
    <w:tmpl w:val="D3CCF60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3BAB48FF"/>
    <w:multiLevelType w:val="hybridMultilevel"/>
    <w:tmpl w:val="58D09FC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B07ABF"/>
    <w:multiLevelType w:val="hybridMultilevel"/>
    <w:tmpl w:val="66AEB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C5551B"/>
    <w:multiLevelType w:val="hybridMultilevel"/>
    <w:tmpl w:val="5E2879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782578"/>
    <w:multiLevelType w:val="hybridMultilevel"/>
    <w:tmpl w:val="39A4C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80F2CD3"/>
    <w:multiLevelType w:val="hybridMultilevel"/>
    <w:tmpl w:val="8EAC085C"/>
    <w:lvl w:ilvl="0" w:tplc="267A6E5A">
      <w:start w:val="1"/>
      <w:numFmt w:val="bullet"/>
      <w:lvlText w:val="•"/>
      <w:lvlJc w:val="left"/>
      <w:pPr>
        <w:tabs>
          <w:tab w:val="num" w:pos="720"/>
        </w:tabs>
        <w:ind w:left="720" w:hanging="360"/>
      </w:pPr>
      <w:rPr>
        <w:rFonts w:ascii="Arial" w:hAnsi="Arial" w:hint="default"/>
      </w:rPr>
    </w:lvl>
    <w:lvl w:ilvl="1" w:tplc="D166BEC2" w:tentative="1">
      <w:start w:val="1"/>
      <w:numFmt w:val="bullet"/>
      <w:lvlText w:val="•"/>
      <w:lvlJc w:val="left"/>
      <w:pPr>
        <w:tabs>
          <w:tab w:val="num" w:pos="1440"/>
        </w:tabs>
        <w:ind w:left="1440" w:hanging="360"/>
      </w:pPr>
      <w:rPr>
        <w:rFonts w:ascii="Arial" w:hAnsi="Arial" w:hint="default"/>
      </w:rPr>
    </w:lvl>
    <w:lvl w:ilvl="2" w:tplc="AF004566" w:tentative="1">
      <w:start w:val="1"/>
      <w:numFmt w:val="bullet"/>
      <w:lvlText w:val="•"/>
      <w:lvlJc w:val="left"/>
      <w:pPr>
        <w:tabs>
          <w:tab w:val="num" w:pos="2160"/>
        </w:tabs>
        <w:ind w:left="2160" w:hanging="360"/>
      </w:pPr>
      <w:rPr>
        <w:rFonts w:ascii="Arial" w:hAnsi="Arial" w:hint="default"/>
      </w:rPr>
    </w:lvl>
    <w:lvl w:ilvl="3" w:tplc="D004CFFE" w:tentative="1">
      <w:start w:val="1"/>
      <w:numFmt w:val="bullet"/>
      <w:lvlText w:val="•"/>
      <w:lvlJc w:val="left"/>
      <w:pPr>
        <w:tabs>
          <w:tab w:val="num" w:pos="2880"/>
        </w:tabs>
        <w:ind w:left="2880" w:hanging="360"/>
      </w:pPr>
      <w:rPr>
        <w:rFonts w:ascii="Arial" w:hAnsi="Arial" w:hint="default"/>
      </w:rPr>
    </w:lvl>
    <w:lvl w:ilvl="4" w:tplc="034A92D6" w:tentative="1">
      <w:start w:val="1"/>
      <w:numFmt w:val="bullet"/>
      <w:lvlText w:val="•"/>
      <w:lvlJc w:val="left"/>
      <w:pPr>
        <w:tabs>
          <w:tab w:val="num" w:pos="3600"/>
        </w:tabs>
        <w:ind w:left="3600" w:hanging="360"/>
      </w:pPr>
      <w:rPr>
        <w:rFonts w:ascii="Arial" w:hAnsi="Arial" w:hint="default"/>
      </w:rPr>
    </w:lvl>
    <w:lvl w:ilvl="5" w:tplc="B69CFBE4" w:tentative="1">
      <w:start w:val="1"/>
      <w:numFmt w:val="bullet"/>
      <w:lvlText w:val="•"/>
      <w:lvlJc w:val="left"/>
      <w:pPr>
        <w:tabs>
          <w:tab w:val="num" w:pos="4320"/>
        </w:tabs>
        <w:ind w:left="4320" w:hanging="360"/>
      </w:pPr>
      <w:rPr>
        <w:rFonts w:ascii="Arial" w:hAnsi="Arial" w:hint="default"/>
      </w:rPr>
    </w:lvl>
    <w:lvl w:ilvl="6" w:tplc="100E6B88" w:tentative="1">
      <w:start w:val="1"/>
      <w:numFmt w:val="bullet"/>
      <w:lvlText w:val="•"/>
      <w:lvlJc w:val="left"/>
      <w:pPr>
        <w:tabs>
          <w:tab w:val="num" w:pos="5040"/>
        </w:tabs>
        <w:ind w:left="5040" w:hanging="360"/>
      </w:pPr>
      <w:rPr>
        <w:rFonts w:ascii="Arial" w:hAnsi="Arial" w:hint="default"/>
      </w:rPr>
    </w:lvl>
    <w:lvl w:ilvl="7" w:tplc="D264F8AC" w:tentative="1">
      <w:start w:val="1"/>
      <w:numFmt w:val="bullet"/>
      <w:lvlText w:val="•"/>
      <w:lvlJc w:val="left"/>
      <w:pPr>
        <w:tabs>
          <w:tab w:val="num" w:pos="5760"/>
        </w:tabs>
        <w:ind w:left="5760" w:hanging="360"/>
      </w:pPr>
      <w:rPr>
        <w:rFonts w:ascii="Arial" w:hAnsi="Arial" w:hint="default"/>
      </w:rPr>
    </w:lvl>
    <w:lvl w:ilvl="8" w:tplc="88940568" w:tentative="1">
      <w:start w:val="1"/>
      <w:numFmt w:val="bullet"/>
      <w:lvlText w:val="•"/>
      <w:lvlJc w:val="left"/>
      <w:pPr>
        <w:tabs>
          <w:tab w:val="num" w:pos="6480"/>
        </w:tabs>
        <w:ind w:left="6480" w:hanging="360"/>
      </w:pPr>
      <w:rPr>
        <w:rFonts w:ascii="Arial" w:hAnsi="Arial" w:hint="default"/>
      </w:rPr>
    </w:lvl>
  </w:abstractNum>
  <w:abstractNum w:abstractNumId="16" w15:restartNumberingAfterBreak="0">
    <w:nsid w:val="49C9645B"/>
    <w:multiLevelType w:val="hybridMultilevel"/>
    <w:tmpl w:val="AB7412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C1F0BC0"/>
    <w:multiLevelType w:val="hybridMultilevel"/>
    <w:tmpl w:val="DFDCB9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E5F6AC4"/>
    <w:multiLevelType w:val="hybridMultilevel"/>
    <w:tmpl w:val="55AAC0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3EF329B"/>
    <w:multiLevelType w:val="hybridMultilevel"/>
    <w:tmpl w:val="25C447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DB6536"/>
    <w:multiLevelType w:val="hybridMultilevel"/>
    <w:tmpl w:val="28B40A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D0F61D6"/>
    <w:multiLevelType w:val="hybridMultilevel"/>
    <w:tmpl w:val="2464623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FB56A21"/>
    <w:multiLevelType w:val="hybridMultilevel"/>
    <w:tmpl w:val="938E2F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62B4C75"/>
    <w:multiLevelType w:val="hybridMultilevel"/>
    <w:tmpl w:val="BC64D87C"/>
    <w:lvl w:ilvl="0" w:tplc="93DAB668">
      <w:numFmt w:val="bullet"/>
      <w:lvlText w:val=""/>
      <w:lvlJc w:val="left"/>
      <w:pPr>
        <w:ind w:left="1080" w:hanging="360"/>
      </w:pPr>
      <w:rPr>
        <w:rFonts w:ascii="Symbol" w:eastAsiaTheme="minorHAnsi" w:hAnsi="Symbol" w:cstheme="minorHAns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15:restartNumberingAfterBreak="0">
    <w:nsid w:val="665402B2"/>
    <w:multiLevelType w:val="hybridMultilevel"/>
    <w:tmpl w:val="30D486E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8833A74"/>
    <w:multiLevelType w:val="hybridMultilevel"/>
    <w:tmpl w:val="39189A24"/>
    <w:lvl w:ilvl="0" w:tplc="F5008C2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B881CE4"/>
    <w:multiLevelType w:val="hybridMultilevel"/>
    <w:tmpl w:val="1DB88E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BB84E31"/>
    <w:multiLevelType w:val="hybridMultilevel"/>
    <w:tmpl w:val="E55A4EC6"/>
    <w:lvl w:ilvl="0" w:tplc="8FB818EC">
      <w:start w:val="1"/>
      <w:numFmt w:val="decimal"/>
      <w:lvlText w:val="%1."/>
      <w:lvlJc w:val="left"/>
      <w:pPr>
        <w:ind w:left="1710" w:hanging="360"/>
      </w:pPr>
      <w:rPr>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DA3630F"/>
    <w:multiLevelType w:val="hybridMultilevel"/>
    <w:tmpl w:val="378A2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6E44CB4"/>
    <w:multiLevelType w:val="hybridMultilevel"/>
    <w:tmpl w:val="AA9CB5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9BB47D6"/>
    <w:multiLevelType w:val="hybridMultilevel"/>
    <w:tmpl w:val="797AC4D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7E916617"/>
    <w:multiLevelType w:val="hybridMultilevel"/>
    <w:tmpl w:val="7688E1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4"/>
  </w:num>
  <w:num w:numId="2">
    <w:abstractNumId w:val="31"/>
  </w:num>
  <w:num w:numId="3">
    <w:abstractNumId w:val="3"/>
  </w:num>
  <w:num w:numId="4">
    <w:abstractNumId w:val="10"/>
  </w:num>
  <w:num w:numId="5">
    <w:abstractNumId w:val="8"/>
  </w:num>
  <w:num w:numId="6">
    <w:abstractNumId w:val="26"/>
  </w:num>
  <w:num w:numId="7">
    <w:abstractNumId w:val="11"/>
  </w:num>
  <w:num w:numId="8">
    <w:abstractNumId w:val="30"/>
  </w:num>
  <w:num w:numId="9">
    <w:abstractNumId w:val="21"/>
  </w:num>
  <w:num w:numId="10">
    <w:abstractNumId w:val="13"/>
  </w:num>
  <w:num w:numId="11">
    <w:abstractNumId w:val="12"/>
  </w:num>
  <w:num w:numId="12">
    <w:abstractNumId w:val="6"/>
  </w:num>
  <w:num w:numId="13">
    <w:abstractNumId w:val="9"/>
  </w:num>
  <w:num w:numId="14">
    <w:abstractNumId w:val="27"/>
  </w:num>
  <w:num w:numId="15">
    <w:abstractNumId w:val="15"/>
  </w:num>
  <w:num w:numId="16">
    <w:abstractNumId w:val="0"/>
  </w:num>
  <w:num w:numId="17">
    <w:abstractNumId w:val="1"/>
  </w:num>
  <w:num w:numId="18">
    <w:abstractNumId w:val="19"/>
  </w:num>
  <w:num w:numId="19">
    <w:abstractNumId w:val="17"/>
  </w:num>
  <w:num w:numId="20">
    <w:abstractNumId w:val="24"/>
  </w:num>
  <w:num w:numId="21">
    <w:abstractNumId w:val="18"/>
  </w:num>
  <w:num w:numId="22">
    <w:abstractNumId w:val="22"/>
  </w:num>
  <w:num w:numId="23">
    <w:abstractNumId w:val="29"/>
  </w:num>
  <w:num w:numId="24">
    <w:abstractNumId w:val="16"/>
  </w:num>
  <w:num w:numId="25">
    <w:abstractNumId w:val="28"/>
  </w:num>
  <w:num w:numId="26">
    <w:abstractNumId w:val="5"/>
  </w:num>
  <w:num w:numId="27">
    <w:abstractNumId w:val="7"/>
  </w:num>
  <w:num w:numId="28">
    <w:abstractNumId w:val="20"/>
  </w:num>
  <w:num w:numId="29">
    <w:abstractNumId w:val="2"/>
  </w:num>
  <w:num w:numId="30">
    <w:abstractNumId w:val="4"/>
  </w:num>
  <w:num w:numId="31">
    <w:abstractNumId w:val="23"/>
  </w:num>
  <w:num w:numId="32">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hdrShapeDefaults>
    <o:shapedefaults v:ext="edit" spidmax="5121"/>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Sexually Transmitted Diseases&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tvpwtxp82fwd6eswrtvxwppxrx0dxvzrr02&quot;&gt;Kreisel EndNote Library-Saved-Saved&lt;record-ids&gt;&lt;item&gt;11&lt;/item&gt;&lt;item&gt;30&lt;/item&gt;&lt;item&gt;77&lt;/item&gt;&lt;item&gt;103&lt;/item&gt;&lt;item&gt;259&lt;/item&gt;&lt;item&gt;271&lt;/item&gt;&lt;item&gt;274&lt;/item&gt;&lt;item&gt;277&lt;/item&gt;&lt;item&gt;278&lt;/item&gt;&lt;item&gt;279&lt;/item&gt;&lt;item&gt;280&lt;/item&gt;&lt;item&gt;281&lt;/item&gt;&lt;item&gt;282&lt;/item&gt;&lt;item&gt;283&lt;/item&gt;&lt;item&gt;284&lt;/item&gt;&lt;item&gt;285&lt;/item&gt;&lt;item&gt;286&lt;/item&gt;&lt;item&gt;287&lt;/item&gt;&lt;item&gt;288&lt;/item&gt;&lt;item&gt;292&lt;/item&gt;&lt;item&gt;299&lt;/item&gt;&lt;item&gt;300&lt;/item&gt;&lt;item&gt;301&lt;/item&gt;&lt;item&gt;302&lt;/item&gt;&lt;item&gt;338&lt;/item&gt;&lt;item&gt;341&lt;/item&gt;&lt;item&gt;343&lt;/item&gt;&lt;item&gt;399&lt;/item&gt;&lt;/record-ids&gt;&lt;/item&gt;&lt;/Libraries&gt;"/>
  </w:docVars>
  <w:rsids>
    <w:rsidRoot w:val="00607276"/>
    <w:rsid w:val="0003547E"/>
    <w:rsid w:val="00035F59"/>
    <w:rsid w:val="00040722"/>
    <w:rsid w:val="00055C57"/>
    <w:rsid w:val="00056FB0"/>
    <w:rsid w:val="00057187"/>
    <w:rsid w:val="00083640"/>
    <w:rsid w:val="000922AA"/>
    <w:rsid w:val="00095F32"/>
    <w:rsid w:val="000A5E57"/>
    <w:rsid w:val="000B520F"/>
    <w:rsid w:val="000C4E2F"/>
    <w:rsid w:val="000C795F"/>
    <w:rsid w:val="000D454F"/>
    <w:rsid w:val="00110FCB"/>
    <w:rsid w:val="00116E51"/>
    <w:rsid w:val="00117510"/>
    <w:rsid w:val="0014140F"/>
    <w:rsid w:val="00143656"/>
    <w:rsid w:val="00150966"/>
    <w:rsid w:val="001558C6"/>
    <w:rsid w:val="001631AD"/>
    <w:rsid w:val="00171F75"/>
    <w:rsid w:val="00187E59"/>
    <w:rsid w:val="001904D5"/>
    <w:rsid w:val="00191132"/>
    <w:rsid w:val="00191F99"/>
    <w:rsid w:val="001C3587"/>
    <w:rsid w:val="001D4FEE"/>
    <w:rsid w:val="001E77D6"/>
    <w:rsid w:val="002352F9"/>
    <w:rsid w:val="00244B01"/>
    <w:rsid w:val="002479CA"/>
    <w:rsid w:val="00260420"/>
    <w:rsid w:val="002A2BEF"/>
    <w:rsid w:val="002C7106"/>
    <w:rsid w:val="002D1EE3"/>
    <w:rsid w:val="002D2E01"/>
    <w:rsid w:val="002D6B14"/>
    <w:rsid w:val="00301163"/>
    <w:rsid w:val="003149B7"/>
    <w:rsid w:val="00322046"/>
    <w:rsid w:val="0033263F"/>
    <w:rsid w:val="003559C5"/>
    <w:rsid w:val="003658B4"/>
    <w:rsid w:val="00381C11"/>
    <w:rsid w:val="0038304F"/>
    <w:rsid w:val="00383AB7"/>
    <w:rsid w:val="003A079B"/>
    <w:rsid w:val="003B480F"/>
    <w:rsid w:val="003D5F32"/>
    <w:rsid w:val="003E2E1C"/>
    <w:rsid w:val="004238EF"/>
    <w:rsid w:val="00452452"/>
    <w:rsid w:val="0046338E"/>
    <w:rsid w:val="004673DC"/>
    <w:rsid w:val="004A6314"/>
    <w:rsid w:val="004C2FC3"/>
    <w:rsid w:val="004D5245"/>
    <w:rsid w:val="004E017D"/>
    <w:rsid w:val="004E0BF4"/>
    <w:rsid w:val="004E35A0"/>
    <w:rsid w:val="00516983"/>
    <w:rsid w:val="005240B3"/>
    <w:rsid w:val="005322E3"/>
    <w:rsid w:val="00534835"/>
    <w:rsid w:val="00536D50"/>
    <w:rsid w:val="00540954"/>
    <w:rsid w:val="00547F25"/>
    <w:rsid w:val="005556FF"/>
    <w:rsid w:val="00562404"/>
    <w:rsid w:val="005661EE"/>
    <w:rsid w:val="00585074"/>
    <w:rsid w:val="005925A8"/>
    <w:rsid w:val="00593B48"/>
    <w:rsid w:val="005A2E29"/>
    <w:rsid w:val="005A3DDC"/>
    <w:rsid w:val="005A48E8"/>
    <w:rsid w:val="005B03ED"/>
    <w:rsid w:val="005C03DB"/>
    <w:rsid w:val="005E74A5"/>
    <w:rsid w:val="005F371A"/>
    <w:rsid w:val="00606D9A"/>
    <w:rsid w:val="00607276"/>
    <w:rsid w:val="006102B7"/>
    <w:rsid w:val="006170B0"/>
    <w:rsid w:val="00645125"/>
    <w:rsid w:val="00650135"/>
    <w:rsid w:val="006541B3"/>
    <w:rsid w:val="0065671D"/>
    <w:rsid w:val="006613F3"/>
    <w:rsid w:val="006661A7"/>
    <w:rsid w:val="0066674C"/>
    <w:rsid w:val="0067593F"/>
    <w:rsid w:val="0068595A"/>
    <w:rsid w:val="006952F9"/>
    <w:rsid w:val="00697D7D"/>
    <w:rsid w:val="006A1A34"/>
    <w:rsid w:val="006A6D9A"/>
    <w:rsid w:val="006B77EE"/>
    <w:rsid w:val="006C53E2"/>
    <w:rsid w:val="006D1581"/>
    <w:rsid w:val="006D4F92"/>
    <w:rsid w:val="006D6089"/>
    <w:rsid w:val="006F36D9"/>
    <w:rsid w:val="00700CB6"/>
    <w:rsid w:val="0070355A"/>
    <w:rsid w:val="007151AA"/>
    <w:rsid w:val="00731DB4"/>
    <w:rsid w:val="0075099D"/>
    <w:rsid w:val="00752714"/>
    <w:rsid w:val="00760970"/>
    <w:rsid w:val="00770078"/>
    <w:rsid w:val="0077645F"/>
    <w:rsid w:val="00781DE9"/>
    <w:rsid w:val="007907FB"/>
    <w:rsid w:val="007D6763"/>
    <w:rsid w:val="007E2FA8"/>
    <w:rsid w:val="007E3BF3"/>
    <w:rsid w:val="007E4D69"/>
    <w:rsid w:val="007E675F"/>
    <w:rsid w:val="00841CD4"/>
    <w:rsid w:val="0084216B"/>
    <w:rsid w:val="008547FE"/>
    <w:rsid w:val="00862CF6"/>
    <w:rsid w:val="008741FF"/>
    <w:rsid w:val="00874960"/>
    <w:rsid w:val="00895B3E"/>
    <w:rsid w:val="008A375E"/>
    <w:rsid w:val="008A44BA"/>
    <w:rsid w:val="008B2828"/>
    <w:rsid w:val="008D057E"/>
    <w:rsid w:val="008D47D2"/>
    <w:rsid w:val="008E7C83"/>
    <w:rsid w:val="008F4D73"/>
    <w:rsid w:val="008F6447"/>
    <w:rsid w:val="009065BC"/>
    <w:rsid w:val="00914B76"/>
    <w:rsid w:val="00927CB9"/>
    <w:rsid w:val="00967ED6"/>
    <w:rsid w:val="00981CB9"/>
    <w:rsid w:val="00995930"/>
    <w:rsid w:val="009B2159"/>
    <w:rsid w:val="009D7F2B"/>
    <w:rsid w:val="009E14F8"/>
    <w:rsid w:val="009E25F2"/>
    <w:rsid w:val="00A0089E"/>
    <w:rsid w:val="00A03A7C"/>
    <w:rsid w:val="00A144BC"/>
    <w:rsid w:val="00A57BCE"/>
    <w:rsid w:val="00A60463"/>
    <w:rsid w:val="00A647C7"/>
    <w:rsid w:val="00A7004E"/>
    <w:rsid w:val="00A7204F"/>
    <w:rsid w:val="00A8140A"/>
    <w:rsid w:val="00AA6CFB"/>
    <w:rsid w:val="00AB0724"/>
    <w:rsid w:val="00AB1E10"/>
    <w:rsid w:val="00AB1E6D"/>
    <w:rsid w:val="00AD5943"/>
    <w:rsid w:val="00AD6D5C"/>
    <w:rsid w:val="00AD712D"/>
    <w:rsid w:val="00AE2D9E"/>
    <w:rsid w:val="00AE2E27"/>
    <w:rsid w:val="00AF3603"/>
    <w:rsid w:val="00AF43B7"/>
    <w:rsid w:val="00AF5867"/>
    <w:rsid w:val="00AF70BC"/>
    <w:rsid w:val="00B02D23"/>
    <w:rsid w:val="00B40F1D"/>
    <w:rsid w:val="00B412A7"/>
    <w:rsid w:val="00B64B15"/>
    <w:rsid w:val="00B66252"/>
    <w:rsid w:val="00B7096A"/>
    <w:rsid w:val="00B74CAD"/>
    <w:rsid w:val="00B75EA0"/>
    <w:rsid w:val="00B9560D"/>
    <w:rsid w:val="00BA4564"/>
    <w:rsid w:val="00BD0F72"/>
    <w:rsid w:val="00BE759F"/>
    <w:rsid w:val="00BF17EB"/>
    <w:rsid w:val="00C024F0"/>
    <w:rsid w:val="00C06143"/>
    <w:rsid w:val="00C10441"/>
    <w:rsid w:val="00C26AE2"/>
    <w:rsid w:val="00C67890"/>
    <w:rsid w:val="00C7116C"/>
    <w:rsid w:val="00C8114C"/>
    <w:rsid w:val="00C85BDF"/>
    <w:rsid w:val="00CA0C69"/>
    <w:rsid w:val="00CD098A"/>
    <w:rsid w:val="00CD14E1"/>
    <w:rsid w:val="00CD266A"/>
    <w:rsid w:val="00D004FB"/>
    <w:rsid w:val="00D1018D"/>
    <w:rsid w:val="00D12EB2"/>
    <w:rsid w:val="00D14DF2"/>
    <w:rsid w:val="00D2470D"/>
    <w:rsid w:val="00D361CE"/>
    <w:rsid w:val="00D46BC1"/>
    <w:rsid w:val="00D779B8"/>
    <w:rsid w:val="00D77C54"/>
    <w:rsid w:val="00D8435E"/>
    <w:rsid w:val="00D93F24"/>
    <w:rsid w:val="00DA3016"/>
    <w:rsid w:val="00DB0FEC"/>
    <w:rsid w:val="00E02FE1"/>
    <w:rsid w:val="00E14416"/>
    <w:rsid w:val="00E168A2"/>
    <w:rsid w:val="00E34BC6"/>
    <w:rsid w:val="00E36C0A"/>
    <w:rsid w:val="00E429AF"/>
    <w:rsid w:val="00E6481F"/>
    <w:rsid w:val="00E66080"/>
    <w:rsid w:val="00E70EBC"/>
    <w:rsid w:val="00E75B18"/>
    <w:rsid w:val="00E76C51"/>
    <w:rsid w:val="00E82585"/>
    <w:rsid w:val="00E84153"/>
    <w:rsid w:val="00E9057A"/>
    <w:rsid w:val="00EA36DC"/>
    <w:rsid w:val="00EB58F4"/>
    <w:rsid w:val="00EB6959"/>
    <w:rsid w:val="00ED69B8"/>
    <w:rsid w:val="00ED7F89"/>
    <w:rsid w:val="00EF3F1F"/>
    <w:rsid w:val="00F016B2"/>
    <w:rsid w:val="00F133FC"/>
    <w:rsid w:val="00F577F2"/>
    <w:rsid w:val="00F57F44"/>
    <w:rsid w:val="00F63970"/>
    <w:rsid w:val="00F720A3"/>
    <w:rsid w:val="00F748D2"/>
    <w:rsid w:val="00F75604"/>
    <w:rsid w:val="00FA477E"/>
    <w:rsid w:val="00FC0099"/>
    <w:rsid w:val="00FD0CA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5121"/>
    <o:shapelayout v:ext="edit">
      <o:idmap v:ext="edit" data="1"/>
    </o:shapelayout>
  </w:shapeDefaults>
  <w:decimalSymbol w:val="."/>
  <w:listSeparator w:val=","/>
  <w14:docId w14:val="22E5B661"/>
  <w15:chartTrackingRefBased/>
  <w15:docId w15:val="{D6AE1BC5-B31B-4813-BC51-33168301E7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7276"/>
  </w:style>
  <w:style w:type="paragraph" w:styleId="Heading1">
    <w:name w:val="heading 1"/>
    <w:basedOn w:val="Normal"/>
    <w:next w:val="Normal"/>
    <w:link w:val="Heading1Char"/>
    <w:uiPriority w:val="9"/>
    <w:qFormat/>
    <w:rsid w:val="0060727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727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link w:val="ListParagraphChar"/>
    <w:uiPriority w:val="34"/>
    <w:qFormat/>
    <w:rsid w:val="00607276"/>
    <w:pPr>
      <w:ind w:left="720"/>
      <w:contextualSpacing/>
    </w:pPr>
  </w:style>
  <w:style w:type="paragraph" w:styleId="Header">
    <w:name w:val="header"/>
    <w:basedOn w:val="Normal"/>
    <w:link w:val="HeaderChar"/>
    <w:uiPriority w:val="99"/>
    <w:unhideWhenUsed/>
    <w:rsid w:val="0060727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7276"/>
  </w:style>
  <w:style w:type="paragraph" w:styleId="Footer">
    <w:name w:val="footer"/>
    <w:basedOn w:val="Normal"/>
    <w:link w:val="FooterChar"/>
    <w:uiPriority w:val="99"/>
    <w:unhideWhenUsed/>
    <w:rsid w:val="0060727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7276"/>
  </w:style>
  <w:style w:type="character" w:styleId="CommentReference">
    <w:name w:val="annotation reference"/>
    <w:basedOn w:val="DefaultParagraphFont"/>
    <w:uiPriority w:val="99"/>
    <w:semiHidden/>
    <w:unhideWhenUsed/>
    <w:rsid w:val="00607276"/>
    <w:rPr>
      <w:sz w:val="16"/>
      <w:szCs w:val="16"/>
    </w:rPr>
  </w:style>
  <w:style w:type="paragraph" w:styleId="CommentText">
    <w:name w:val="annotation text"/>
    <w:basedOn w:val="Normal"/>
    <w:link w:val="CommentTextChar"/>
    <w:uiPriority w:val="99"/>
    <w:unhideWhenUsed/>
    <w:rsid w:val="00607276"/>
    <w:pPr>
      <w:spacing w:line="240" w:lineRule="auto"/>
    </w:pPr>
    <w:rPr>
      <w:sz w:val="20"/>
      <w:szCs w:val="20"/>
    </w:rPr>
  </w:style>
  <w:style w:type="character" w:customStyle="1" w:styleId="CommentTextChar">
    <w:name w:val="Comment Text Char"/>
    <w:basedOn w:val="DefaultParagraphFont"/>
    <w:link w:val="CommentText"/>
    <w:uiPriority w:val="99"/>
    <w:rsid w:val="00607276"/>
    <w:rPr>
      <w:sz w:val="20"/>
      <w:szCs w:val="20"/>
    </w:rPr>
  </w:style>
  <w:style w:type="paragraph" w:styleId="CommentSubject">
    <w:name w:val="annotation subject"/>
    <w:basedOn w:val="CommentText"/>
    <w:next w:val="CommentText"/>
    <w:link w:val="CommentSubjectChar"/>
    <w:uiPriority w:val="99"/>
    <w:semiHidden/>
    <w:unhideWhenUsed/>
    <w:rsid w:val="00607276"/>
    <w:rPr>
      <w:b/>
      <w:bCs/>
    </w:rPr>
  </w:style>
  <w:style w:type="character" w:customStyle="1" w:styleId="CommentSubjectChar">
    <w:name w:val="Comment Subject Char"/>
    <w:basedOn w:val="CommentTextChar"/>
    <w:link w:val="CommentSubject"/>
    <w:uiPriority w:val="99"/>
    <w:semiHidden/>
    <w:rsid w:val="00607276"/>
    <w:rPr>
      <w:b/>
      <w:bCs/>
      <w:sz w:val="20"/>
      <w:szCs w:val="20"/>
    </w:rPr>
  </w:style>
  <w:style w:type="paragraph" w:styleId="BalloonText">
    <w:name w:val="Balloon Text"/>
    <w:basedOn w:val="Normal"/>
    <w:link w:val="BalloonTextChar"/>
    <w:uiPriority w:val="99"/>
    <w:semiHidden/>
    <w:unhideWhenUsed/>
    <w:rsid w:val="0060727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07276"/>
    <w:rPr>
      <w:rFonts w:ascii="Segoe UI" w:hAnsi="Segoe UI" w:cs="Segoe UI"/>
      <w:sz w:val="18"/>
      <w:szCs w:val="18"/>
    </w:rPr>
  </w:style>
  <w:style w:type="character" w:styleId="Hyperlink">
    <w:name w:val="Hyperlink"/>
    <w:basedOn w:val="DefaultParagraphFont"/>
    <w:uiPriority w:val="99"/>
    <w:unhideWhenUsed/>
    <w:rsid w:val="00607276"/>
    <w:rPr>
      <w:color w:val="0563C1" w:themeColor="hyperlink"/>
      <w:u w:val="single"/>
    </w:rPr>
  </w:style>
  <w:style w:type="character" w:styleId="LineNumber">
    <w:name w:val="line number"/>
    <w:basedOn w:val="DefaultParagraphFont"/>
    <w:uiPriority w:val="99"/>
    <w:semiHidden/>
    <w:unhideWhenUsed/>
    <w:rsid w:val="00607276"/>
  </w:style>
  <w:style w:type="table" w:styleId="TableGrid">
    <w:name w:val="Table Grid"/>
    <w:basedOn w:val="TableNormal"/>
    <w:uiPriority w:val="39"/>
    <w:rsid w:val="006072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EndNoteBibliographyTitle">
    <w:name w:val="EndNote Bibliography Title"/>
    <w:basedOn w:val="Normal"/>
    <w:link w:val="EndNoteBibliographyTitleChar"/>
    <w:rsid w:val="00607276"/>
    <w:pPr>
      <w:spacing w:after="0"/>
      <w:jc w:val="center"/>
    </w:pPr>
    <w:rPr>
      <w:rFonts w:ascii="Calibri" w:hAnsi="Calibri" w:cs="Calibri"/>
      <w:noProof/>
    </w:rPr>
  </w:style>
  <w:style w:type="character" w:customStyle="1" w:styleId="ListParagraphChar">
    <w:name w:val="List Paragraph Char"/>
    <w:basedOn w:val="DefaultParagraphFont"/>
    <w:link w:val="ListParagraph"/>
    <w:uiPriority w:val="34"/>
    <w:rsid w:val="00607276"/>
  </w:style>
  <w:style w:type="character" w:customStyle="1" w:styleId="EndNoteBibliographyTitleChar">
    <w:name w:val="EndNote Bibliography Title Char"/>
    <w:basedOn w:val="ListParagraphChar"/>
    <w:link w:val="EndNoteBibliographyTitle"/>
    <w:rsid w:val="00607276"/>
    <w:rPr>
      <w:rFonts w:ascii="Calibri" w:hAnsi="Calibri" w:cs="Calibri"/>
      <w:noProof/>
    </w:rPr>
  </w:style>
  <w:style w:type="paragraph" w:customStyle="1" w:styleId="EndNoteBibliography">
    <w:name w:val="EndNote Bibliography"/>
    <w:basedOn w:val="Normal"/>
    <w:link w:val="EndNoteBibliographyChar"/>
    <w:rsid w:val="00607276"/>
    <w:pPr>
      <w:spacing w:line="240" w:lineRule="auto"/>
    </w:pPr>
    <w:rPr>
      <w:rFonts w:ascii="Calibri" w:hAnsi="Calibri" w:cs="Calibri"/>
      <w:noProof/>
    </w:rPr>
  </w:style>
  <w:style w:type="character" w:customStyle="1" w:styleId="EndNoteBibliographyChar">
    <w:name w:val="EndNote Bibliography Char"/>
    <w:basedOn w:val="ListParagraphChar"/>
    <w:link w:val="EndNoteBibliography"/>
    <w:rsid w:val="00607276"/>
    <w:rPr>
      <w:rFonts w:ascii="Calibri" w:hAnsi="Calibri" w:cs="Calibri"/>
      <w:noProof/>
    </w:rPr>
  </w:style>
  <w:style w:type="character" w:styleId="UnresolvedMention">
    <w:name w:val="Unresolved Mention"/>
    <w:basedOn w:val="DefaultParagraphFont"/>
    <w:uiPriority w:val="99"/>
    <w:semiHidden/>
    <w:unhideWhenUsed/>
    <w:rsid w:val="00607276"/>
    <w:rPr>
      <w:color w:val="605E5C"/>
      <w:shd w:val="clear" w:color="auto" w:fill="E1DFDD"/>
    </w:rPr>
  </w:style>
  <w:style w:type="character" w:customStyle="1" w:styleId="SC2721">
    <w:name w:val="SC2721"/>
    <w:uiPriority w:val="99"/>
    <w:rsid w:val="00607276"/>
    <w:rPr>
      <w:color w:val="000000"/>
    </w:rPr>
  </w:style>
  <w:style w:type="character" w:styleId="FollowedHyperlink">
    <w:name w:val="FollowedHyperlink"/>
    <w:basedOn w:val="DefaultParagraphFont"/>
    <w:uiPriority w:val="99"/>
    <w:semiHidden/>
    <w:unhideWhenUsed/>
    <w:rsid w:val="00607276"/>
    <w:rPr>
      <w:color w:val="954F72" w:themeColor="followedHyperlink"/>
      <w:u w:val="single"/>
    </w:rPr>
  </w:style>
  <w:style w:type="paragraph" w:styleId="Revision">
    <w:name w:val="Revision"/>
    <w:hidden/>
    <w:uiPriority w:val="99"/>
    <w:semiHidden/>
    <w:rsid w:val="00607276"/>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wwwn.cdc.gov/nchs/nhanes/Search/DataPage.aspx?Component=Laboratory&amp;CycleBeginYear=2017"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wwwn.cdc.gov/nchs/nhanes/Search/DataPage.aspx?Component=Laboratory&amp;CycleBeginYear=2015"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www.cdc.gov/nchs/nsfg/nsfg_2015_2017_puf.htm" TargetMode="External"/><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hyperlink" Target="http://factfinder.census.gov" TargetMode="Externa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yperlink" Target="https://www.cdc.gov/std/gisp/GISP_eGISP_Protocol_January_2020.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0280B11AB954C44BB2ADB61C885D152" ma:contentTypeVersion="13" ma:contentTypeDescription="Create a new document." ma:contentTypeScope="" ma:versionID="9e7a5081cc47f4134d842577847cc17a">
  <xsd:schema xmlns:xsd="http://www.w3.org/2001/XMLSchema" xmlns:xs="http://www.w3.org/2001/XMLSchema" xmlns:p="http://schemas.microsoft.com/office/2006/metadata/properties" xmlns:ns1="http://schemas.microsoft.com/sharepoint/v3" xmlns:ns3="86765d95-7958-4d60-b35d-769de0760221" xmlns:ns4="dde2d2aa-043b-4580-afc4-8c4886710735" targetNamespace="http://schemas.microsoft.com/office/2006/metadata/properties" ma:root="true" ma:fieldsID="03d4a3956edc616f1d5793e413ce0a68" ns1:_="" ns3:_="" ns4:_="">
    <xsd:import namespace="http://schemas.microsoft.com/sharepoint/v3"/>
    <xsd:import namespace="86765d95-7958-4d60-b35d-769de0760221"/>
    <xsd:import namespace="dde2d2aa-043b-4580-afc4-8c4886710735"/>
    <xsd:element name="properties">
      <xsd:complexType>
        <xsd:sequence>
          <xsd:element name="documentManagement">
            <xsd:complexType>
              <xsd:all>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element ref="ns3:MediaServiceGenerationTime" minOccurs="0"/>
                <xsd:element ref="ns3:MediaServiceEventHashCode" minOccurs="0"/>
                <xsd:element ref="ns3:MediaServiceDateTaken" minOccurs="0"/>
                <xsd:element ref="ns3:MediaServiceLocation"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6765d95-7958-4d60-b35d-769de076022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de2d2aa-043b-4580-afc4-8c4886710735"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SharingHintHash" ma:index="20"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BF5D81A-2404-4F11-94D9-DC38CDAD66D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86765d95-7958-4d60-b35d-769de0760221"/>
    <ds:schemaRef ds:uri="dde2d2aa-043b-4580-afc4-8c48867107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2C961C0-8655-48F7-B133-9D31A65CD16C}">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7293FA64-EA98-48BA-84F9-A5CAAA44209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224</TotalTime>
  <Pages>15</Pages>
  <Words>3395</Words>
  <Characters>19355</Characters>
  <Application>Microsoft Office Word</Application>
  <DocSecurity>0</DocSecurity>
  <Lines>161</Lines>
  <Paragraphs>45</Paragraphs>
  <ScaleCrop>false</ScaleCrop>
  <Company>Centers for Disease Control and Prevention</Company>
  <LinksUpToDate>false</LinksUpToDate>
  <CharactersWithSpaces>22705</CharactersWithSpaces>
  <SharedDoc>false</SharedDoc>
  <HLinks>
    <vt:vector size="36" baseType="variant">
      <vt:variant>
        <vt:i4>2687053</vt:i4>
      </vt:variant>
      <vt:variant>
        <vt:i4>18</vt:i4>
      </vt:variant>
      <vt:variant>
        <vt:i4>0</vt:i4>
      </vt:variant>
      <vt:variant>
        <vt:i4>5</vt:i4>
      </vt:variant>
      <vt:variant>
        <vt:lpwstr>https://www.cdc.gov/nchs/nsfg/nsfg_2015_2017_puf.htm</vt:lpwstr>
      </vt:variant>
      <vt:variant>
        <vt:lpwstr/>
      </vt:variant>
      <vt:variant>
        <vt:i4>6225937</vt:i4>
      </vt:variant>
      <vt:variant>
        <vt:i4>15</vt:i4>
      </vt:variant>
      <vt:variant>
        <vt:i4>0</vt:i4>
      </vt:variant>
      <vt:variant>
        <vt:i4>5</vt:i4>
      </vt:variant>
      <vt:variant>
        <vt:lpwstr>https://www.cdc.gov/std/gisp/GISP_eGISP_Protocol_January_2020.pdf</vt:lpwstr>
      </vt:variant>
      <vt:variant>
        <vt:lpwstr/>
      </vt:variant>
      <vt:variant>
        <vt:i4>2162730</vt:i4>
      </vt:variant>
      <vt:variant>
        <vt:i4>12</vt:i4>
      </vt:variant>
      <vt:variant>
        <vt:i4>0</vt:i4>
      </vt:variant>
      <vt:variant>
        <vt:i4>5</vt:i4>
      </vt:variant>
      <vt:variant>
        <vt:lpwstr>https://wwwn.cdc.gov/nchs/nhanes/Search/DataPage.aspx?Component=Laboratory&amp;CycleBeginYear=2017</vt:lpwstr>
      </vt:variant>
      <vt:variant>
        <vt:lpwstr/>
      </vt:variant>
      <vt:variant>
        <vt:i4>2293802</vt:i4>
      </vt:variant>
      <vt:variant>
        <vt:i4>9</vt:i4>
      </vt:variant>
      <vt:variant>
        <vt:i4>0</vt:i4>
      </vt:variant>
      <vt:variant>
        <vt:i4>5</vt:i4>
      </vt:variant>
      <vt:variant>
        <vt:lpwstr>https://wwwn.cdc.gov/nchs/nhanes/Search/DataPage.aspx?Component=Laboratory&amp;CycleBeginYear=2015</vt:lpwstr>
      </vt:variant>
      <vt:variant>
        <vt:lpwstr/>
      </vt:variant>
      <vt:variant>
        <vt:i4>2687053</vt:i4>
      </vt:variant>
      <vt:variant>
        <vt:i4>6</vt:i4>
      </vt:variant>
      <vt:variant>
        <vt:i4>0</vt:i4>
      </vt:variant>
      <vt:variant>
        <vt:i4>5</vt:i4>
      </vt:variant>
      <vt:variant>
        <vt:lpwstr>https://www.cdc.gov/nchs/nsfg/nsfg_2015_2017_puf.htm</vt:lpwstr>
      </vt:variant>
      <vt:variant>
        <vt:lpwstr/>
      </vt:variant>
      <vt:variant>
        <vt:i4>1638490</vt:i4>
      </vt:variant>
      <vt:variant>
        <vt:i4>3</vt:i4>
      </vt:variant>
      <vt:variant>
        <vt:i4>0</vt:i4>
      </vt:variant>
      <vt:variant>
        <vt:i4>5</vt:i4>
      </vt:variant>
      <vt:variant>
        <vt:lpwstr>http://factfinder.census.gov/</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Kreisel, Kristen (CDC/DDID/NCHHSTP/DSTDP)</dc:creator>
  <cp:keywords/>
  <dc:description/>
  <cp:lastModifiedBy>Kreisel, Kristen (CDC/DDID/NCHHSTP/DSTDP)</cp:lastModifiedBy>
  <cp:revision>197</cp:revision>
  <cp:lastPrinted>2021-01-06T03:54:00Z</cp:lastPrinted>
  <dcterms:created xsi:type="dcterms:W3CDTF">2020-11-03T20:56:00Z</dcterms:created>
  <dcterms:modified xsi:type="dcterms:W3CDTF">2021-01-12T19:03:00Z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7b94a7b8-f06c-4dfe-bdcc-9b548fd58c31_Enabled">
    <vt:lpwstr>true</vt:lpwstr>
  </property>
  <property fmtid="{D5CDD505-2E9C-101B-9397-08002B2CF9AE}" pid="3" name="MSIP_Label_7b94a7b8-f06c-4dfe-bdcc-9b548fd58c31_SetDate">
    <vt:lpwstr>2020-11-03T17:57:09Z</vt:lpwstr>
  </property>
  <property fmtid="{D5CDD505-2E9C-101B-9397-08002B2CF9AE}" pid="4" name="MSIP_Label_7b94a7b8-f06c-4dfe-bdcc-9b548fd58c31_Method">
    <vt:lpwstr>Privileged</vt:lpwstr>
  </property>
  <property fmtid="{D5CDD505-2E9C-101B-9397-08002B2CF9AE}" pid="5" name="MSIP_Label_7b94a7b8-f06c-4dfe-bdcc-9b548fd58c31_Name">
    <vt:lpwstr>7b94a7b8-f06c-4dfe-bdcc-9b548fd58c31</vt:lpwstr>
  </property>
  <property fmtid="{D5CDD505-2E9C-101B-9397-08002B2CF9AE}" pid="6" name="MSIP_Label_7b94a7b8-f06c-4dfe-bdcc-9b548fd58c31_SiteId">
    <vt:lpwstr>9ce70869-60db-44fd-abe8-d2767077fc8f</vt:lpwstr>
  </property>
  <property fmtid="{D5CDD505-2E9C-101B-9397-08002B2CF9AE}" pid="7" name="MSIP_Label_7b94a7b8-f06c-4dfe-bdcc-9b548fd58c31_ActionId">
    <vt:lpwstr>3b0317c0-91a8-4c32-9b59-ce3b19e1a0fa</vt:lpwstr>
  </property>
  <property fmtid="{D5CDD505-2E9C-101B-9397-08002B2CF9AE}" pid="8" name="MSIP_Label_7b94a7b8-f06c-4dfe-bdcc-9b548fd58c31_ContentBits">
    <vt:lpwstr>0</vt:lpwstr>
  </property>
  <property fmtid="{D5CDD505-2E9C-101B-9397-08002B2CF9AE}" pid="9" name="ContentTypeId">
    <vt:lpwstr>0x010100B0280B11AB954C44BB2ADB61C885D152</vt:lpwstr>
  </property>
</Properties>
</file>