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ПАСПОРТ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Краткое наименование</w:t>
            </w:r>
          </w:p>
        </w:tc>
        <w:tc>
          <w:tcPr>
            <w:tcW w:type="dxa" w:w="4320"/>
          </w:tcPr>
          <w:p>
            <w:r>
              <w:t>Smart-Domna</w:t>
            </w:r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Intelligent Monitoring of Furnace Zones</w:t>
            </w:r>
          </w:p>
        </w:tc>
      </w:tr>
      <w:tr>
        <w:tc>
          <w:tcPr>
            <w:tcW w:type="dxa" w:w="4320"/>
          </w:tcPr>
          <w:p>
            <w:r>
              <w:t>Предприятие</w:t>
            </w:r>
          </w:p>
        </w:tc>
        <w:tc>
          <w:tcPr>
            <w:tcW w:type="dxa" w:w="4320"/>
          </w:tcPr>
          <w:p>
            <w:r>
              <w:t>Среднеуральский Металлургический Завод (СМЗ)</w:t>
            </w:r>
          </w:p>
        </w:tc>
      </w:tr>
      <w:tr>
        <w:tc>
          <w:tcPr>
            <w:tcW w:type="dxa" w:w="4320"/>
          </w:tcPr>
          <w:p>
            <w:r>
              <w:t>Руководитель проекта</w:t>
            </w:r>
          </w:p>
        </w:tc>
        <w:tc>
          <w:tcPr>
            <w:tcW w:type="dxa" w:w="4320"/>
          </w:tcPr>
          <w:p>
            <w:r>
              <w:t>Виктор Степанович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Куратор</w:t>
            </w:r>
          </w:p>
        </w:tc>
        <w:tc>
          <w:tcPr>
            <w:tcW w:type="dxa" w:w="4320"/>
          </w:tcPr>
          <w:p>
            <w:r>
              <w:t>Технический директор, Савельев</w:t>
            </w:r>
          </w:p>
        </w:tc>
      </w:tr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Цифровая трансформация / IIoT</w:t>
            </w:r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Reduce the frequency of unplanned stops due to furnace overheating at DPF-5 from 14 to 0 cases per year by the end of January 2027.</w:t>
            </w:r>
          </w:p>
        </w:tc>
      </w:tr>
      <w:tr>
        <w:tc>
          <w:tcPr>
            <w:tcW w:type="dxa" w:w="4320"/>
          </w:tcPr>
          <w:p>
            <w:r>
              <w:t>Срок реализации</w:t>
            </w:r>
          </w:p>
        </w:tc>
        <w:tc>
          <w:tcPr>
            <w:tcW w:type="dxa" w:w="4320"/>
          </w:tcPr>
          <w:p>
            <w:r>
              <w:t>15 January 2027</w:t>
            </w:r>
          </w:p>
        </w:tc>
      </w:tr>
      <w:tr>
        <w:tc>
          <w:tcPr>
            <w:tcW w:type="dxa" w:w="4320"/>
          </w:tcPr>
          <w:p>
            <w:r>
              <w:t>Бюджет</w:t>
            </w:r>
          </w:p>
        </w:tc>
        <w:tc>
          <w:tcPr>
            <w:tcW w:type="dxa" w:w="4320"/>
          </w:tcPr>
          <w:p>
            <w:r>
              <w:t>4,200,000 rubles for equipment and licenses</w:t>
            </w:r>
          </w:p>
        </w:tc>
      </w:tr>
      <w:tr>
        <w:tc>
          <w:tcPr>
            <w:tcW w:type="dxa" w:w="4320"/>
          </w:tcPr>
          <w:p>
            <w:r>
              <w:t>Премиальный фонд</w:t>
            </w:r>
          </w:p>
        </w:tc>
        <w:tc>
          <w:tcPr>
            <w:tcW w:type="dxa" w:w="4320"/>
          </w:tcPr>
          <w:p>
            <w:r>
              <w:t>450,000 rubles for engineers and developers</w:t>
            </w:r>
          </w:p>
        </w:tc>
      </w:tr>
      <w:tr>
        <w:tc>
          <w:tcPr>
            <w:tcW w:type="dxa" w:w="4320"/>
          </w:tcPr>
          <w:p>
            <w:r>
              <w:t>Экономический эффект</w:t>
            </w:r>
          </w:p>
        </w:tc>
        <w:tc>
          <w:tcPr>
            <w:tcW w:type="dxa" w:w="4320"/>
          </w:tcPr>
          <w:p>
            <w:r>
              <w:t>approximately 22,000,000 rubles per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