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be3c9007e47d475351395b5bc0982cf7aeb74f"/>
    <w:p>
      <w:pPr>
        <w:pStyle w:val="Heading1"/>
      </w:pPr>
      <w:r>
        <w:t xml:space="preserve">Advanced SQL Exercises for Online Retail Store — Answers</w:t>
      </w:r>
    </w:p>
    <w:p>
      <w:pPr>
        <w:pStyle w:val="FirstParagraph"/>
      </w:pPr>
      <w:r>
        <w:rPr>
          <w:bCs/>
          <w:b/>
        </w:rPr>
        <w:t xml:space="preserve">Assumed schema</w:t>
      </w:r>
      <w:r>
        <w:t xml:space="preserve"> </w:t>
      </w:r>
      <w:r>
        <w:t xml:space="preserve">(based on the tables referenced in the exercises):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CustomerID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Customers(CustomerID),</w:t>
      </w:r>
      <w:r>
        <w:br/>
      </w:r>
      <w:r>
        <w:rPr>
          <w:rStyle w:val="NormalTok"/>
        </w:rPr>
        <w:t xml:space="preserve">    OrderDate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OrderDetails (</w:t>
      </w:r>
      <w:r>
        <w:br/>
      </w:r>
      <w:r>
        <w:rPr>
          <w:rStyle w:val="NormalTok"/>
        </w:rPr>
        <w:t xml:space="preserve">    OrderDetailID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Orders(OrderID),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Products(ProductID),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ranking-and-window-functions"/>
    <w:p>
      <w:pPr>
        <w:pStyle w:val="Heading2"/>
      </w:pPr>
      <w:r>
        <w:t xml:space="preserve">Exercise 1: Ranking and Window Functions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Find the top 3 most expensive products in each category using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DENSE_RANK()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ProductID,</w:t>
      </w:r>
      <w:r>
        <w:br/>
      </w:r>
      <w:r>
        <w:rPr>
          <w:rStyle w:val="NormalTok"/>
        </w:rPr>
        <w:t xml:space="preserve">    ProductName,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RowNum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RankNum,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DenseRankNum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</w:p>
    <w:p>
      <w:pPr>
        <w:pStyle w:val="FirstParagraph"/>
      </w:pPr>
      <w:r>
        <w:t xml:space="preserve">To restrict the result to only the top 3 per category, wrap the query in a CTE and filter on one of the ranking columns: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RankedProducts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ProductID,</w:t>
      </w:r>
      <w:r>
        <w:br/>
      </w:r>
      <w:r>
        <w:rPr>
          <w:rStyle w:val="NormalTok"/>
        </w:rPr>
        <w:t xml:space="preserve">        ProductName,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Price,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RowNum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ProductID, ProductName,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RankedProducts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How ties are handled (difference between the three functions):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 </w:t>
      </w:r>
      <w:r>
        <w:t xml:space="preserve">assigns a strictly increasing, unique number to every row, even if prices tie — no two products ever share a rank, so ties are broken arbitrarily (by whatever order the engine resolves ties).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gives tied rows the same rank, but then</w:t>
      </w:r>
      <w:r>
        <w:t xml:space="preserve"> </w:t>
      </w:r>
      <w:r>
        <w:rPr>
          <w:bCs/>
          <w:b/>
        </w:rPr>
        <w:t xml:space="preserve">skips</w:t>
      </w:r>
      <w:r>
        <w:t xml:space="preserve"> </w:t>
      </w:r>
      <w:r>
        <w:t xml:space="preserve">the next rank number(s) — e.g., two products tied for rank 1 means the next product gets rank 3, not 2.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DENSE_RANK()</w:t>
      </w:r>
      <w:r>
        <w:t xml:space="preserve"> </w:t>
      </w:r>
      <w:r>
        <w:t xml:space="preserve">also gives tied rows the same rank,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skip subsequent ranks — the next distinct price gets rank 2.</w:t>
      </w:r>
    </w:p>
    <w:p>
      <w:pPr>
        <w:pStyle w:val="BodyText"/>
      </w:pPr>
      <w:r>
        <w:rPr>
          <w:rStyle w:val="VerbatimChar"/>
        </w:rPr>
        <w:t xml:space="preserve">PARTITION BY Category</w:t>
      </w:r>
      <w:r>
        <w:t xml:space="preserve"> </w:t>
      </w:r>
      <w:r>
        <w:t xml:space="preserve">resets the ranking counter for every category, and</w:t>
      </w:r>
      <w:r>
        <w:t xml:space="preserve"> </w:t>
      </w:r>
      <w:r>
        <w:rPr>
          <w:rStyle w:val="VerbatimChar"/>
        </w:rPr>
        <w:t xml:space="preserve">ORDER BY Price DESC</w:t>
      </w:r>
      <w:r>
        <w:t xml:space="preserve"> </w:t>
      </w:r>
      <w:r>
        <w:t xml:space="preserve">ranks from the most to least expensive within each partition.</w:t>
      </w:r>
    </w:p>
    <w:p>
      <w:r>
        <w:pict>
          <v:rect style="width:0;height:1.5pt" o:hralign="center" o:hrstd="t" o:hr="t"/>
        </w:pict>
      </w:r>
    </w:p>
    <w:bookmarkEnd w:id="20"/>
    <w:bookmarkStart w:id="21" w:name="X9d9630da504595ced55340a074aa8f817a6bfe6"/>
    <w:p>
      <w:pPr>
        <w:pStyle w:val="Heading2"/>
      </w:pPr>
      <w:r>
        <w:t xml:space="preserve">Exercise 2: Aggregation with GROUPING SETS, CUBE, and ROLLUP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Analyze sales data across multiple dimensions (Region, Category).</w:t>
      </w:r>
    </w:p>
    <w:p>
      <w:pPr>
        <w:pStyle w:val="SourceCode"/>
      </w:pPr>
      <w:r>
        <w:rPr>
          <w:rStyle w:val="CommentTok"/>
        </w:rPr>
        <w:t xml:space="preserve">-- Base join used by all three aggregation queries</w:t>
      </w:r>
      <w:r>
        <w:br/>
      </w:r>
      <w:r>
        <w:rPr>
          <w:rStyle w:val="CommentTok"/>
        </w:rPr>
        <w:t xml:space="preserve">-- Orders -&gt; OrderDetails -&gt; Products -&gt; Customers</w:t>
      </w:r>
      <w:r>
        <w:br/>
      </w:r>
      <w:r>
        <w:br/>
      </w:r>
      <w:r>
        <w:rPr>
          <w:rStyle w:val="CommentTok"/>
        </w:rPr>
        <w:t xml:space="preserve">-- 1. GROUPING SETS: totals by Region, by Category, and by both together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c.Region,</w:t>
      </w:r>
      <w:r>
        <w:br/>
      </w:r>
      <w:r>
        <w:rPr>
          <w:rStyle w:val="NormalTok"/>
        </w:rPr>
        <w:t xml:space="preserve">   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OrderDetails 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od.OrderID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od.ProductID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p.ProductID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 SETS (</w:t>
      </w:r>
      <w:r>
        <w:br/>
      </w:r>
      <w:r>
        <w:rPr>
          <w:rStyle w:val="NormalTok"/>
        </w:rPr>
        <w:t xml:space="preserve">    (c.Region),</w:t>
      </w:r>
      <w:r>
        <w:br/>
      </w:r>
      <w:r>
        <w:rPr>
          <w:rStyle w:val="NormalTok"/>
        </w:rPr>
        <w:t xml:space="preserve">    (p.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(c.Region,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ROLLUP: subtotals by Region, then a grand total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c.Region,</w:t>
      </w:r>
      <w:r>
        <w:br/>
      </w:r>
      <w:r>
        <w:rPr>
          <w:rStyle w:val="NormalTok"/>
        </w:rPr>
        <w:t xml:space="preserve">   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OrderDetails 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od.OrderID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od.ProductID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p.ProductID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 (c.Region,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CUBE: every combination of Region and Category, plus subtotals and grand total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c.Region,</w:t>
      </w:r>
      <w:r>
        <w:br/>
      </w:r>
      <w:r>
        <w:rPr>
          <w:rStyle w:val="NormalTok"/>
        </w:rPr>
        <w:t xml:space="preserve">   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TotalSales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OrderDetails 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od.OrderID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od.ProductID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p.ProductID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CUBE</w:t>
      </w:r>
      <w:r>
        <w:rPr>
          <w:rStyle w:val="NormalTok"/>
        </w:rPr>
        <w:t xml:space="preserve"> (c.Region,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GROUPING SETS</w:t>
      </w:r>
      <w:r>
        <w:t xml:space="preserve"> </w:t>
      </w:r>
      <w:r>
        <w:t xml:space="preserve">lets you specify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which combinations of grouping columns you want, avoiding combinations you don’t need.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 </w:t>
      </w:r>
      <w:r>
        <w:t xml:space="preserve">produces a hierarchical set of subtotals (Region → Region+Category → grand total) — it assumes a hierarchy between the columns listed.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CUBE</w:t>
      </w:r>
      <w:r>
        <w:t xml:space="preserve"> </w:t>
      </w:r>
      <w:r>
        <w:t xml:space="preserve">produces subtotals for</w:t>
      </w:r>
      <w:r>
        <w:t xml:space="preserve"> </w:t>
      </w:r>
      <w:r>
        <w:rPr>
          <w:bCs/>
          <w:b/>
        </w:rPr>
        <w:t xml:space="preserve">every possible combination</w:t>
      </w:r>
      <w:r>
        <w:t xml:space="preserve"> </w:t>
      </w:r>
      <w:r>
        <w:t xml:space="preserve">of the grouping columns (Region alone, Category alone, Region+Category, and the grand total) — it does not assume a hierarchy.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values that appear in the Region/Category columns of the result represent subtotal/grand-total rows; use</w:t>
      </w:r>
      <w:r>
        <w:t xml:space="preserve"> </w:t>
      </w:r>
      <w:r>
        <w:rPr>
          <w:rStyle w:val="VerbatimChar"/>
        </w:rPr>
        <w:t xml:space="preserve">GROUPING(column)</w:t>
      </w:r>
      <w:r>
        <w:t xml:space="preserve"> </w:t>
      </w:r>
      <w:r>
        <w:t xml:space="preserve">to distinguish a real NULL from a</w:t>
      </w:r>
      <w:r>
        <w:t xml:space="preserve"> </w:t>
      </w:r>
      <w:r>
        <w:t xml:space="preserve">“</w:t>
      </w:r>
      <w:r>
        <w:t xml:space="preserve">subtotal</w:t>
      </w:r>
      <w:r>
        <w:t xml:space="preserve">”</w:t>
      </w:r>
      <w:r>
        <w:t xml:space="preserve"> </w:t>
      </w:r>
      <w:r>
        <w:t xml:space="preserve">NULL.</w:t>
      </w:r>
    </w:p>
    <w:p>
      <w:r>
        <w:pict>
          <v:rect style="width:0;height:1.5pt" o:hralign="center" o:hrstd="t" o:hr="t"/>
        </w:pict>
      </w:r>
    </w:p>
    <w:bookmarkEnd w:id="21"/>
    <w:bookmarkStart w:id="24" w:name="exercise-3-ctes-and-merge"/>
    <w:p>
      <w:pPr>
        <w:pStyle w:val="Heading2"/>
      </w:pPr>
      <w:r>
        <w:t xml:space="preserve">Exercise 3: CTEs and MERGE</w:t>
      </w:r>
    </w:p>
    <w:bookmarkStart w:id="22" w:name="X3419070e2810bed20d2f4966f5a1d37dbc2b414"/>
    <w:p>
      <w:pPr>
        <w:pStyle w:val="Heading3"/>
      </w:pPr>
      <w:r>
        <w:t xml:space="preserve">a) Recursive CTE to generate a calendar table (Jan 2025)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DateSequence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'2025-01-01'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CalendarDate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CalendarDate)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DateSequence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CalendarDate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'2025-01-31'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CalendarDate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DateSequence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(MAXRECURSION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default limit is 100; explicit here for clarity</w:t>
      </w:r>
    </w:p>
    <w:p>
      <w:pPr>
        <w:pStyle w:val="FirstParagraph"/>
      </w:pPr>
      <w:r>
        <w:t xml:space="preserve">The anchor member selects the starting date, and the recursive member repeatedly adds one day until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condition (</w:t>
      </w:r>
      <w:r>
        <w:rPr>
          <w:rStyle w:val="VerbatimChar"/>
        </w:rPr>
        <w:t xml:space="preserve">CalendarDate &lt; '2025-01-31'</w:t>
      </w:r>
      <w:r>
        <w:t xml:space="preserve">) is no longer true, producing all 31 dates in January 2025.</w:t>
      </w:r>
    </w:p>
    <w:bookmarkEnd w:id="22"/>
    <w:bookmarkStart w:id="23" w:name="X30352a243caf4b65b96969c21ce83f1b9d010dd"/>
    <w:p>
      <w:pPr>
        <w:pStyle w:val="Heading3"/>
      </w:pPr>
      <w:r>
        <w:t xml:space="preserve">b) Staging table and MERGE for product prices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StagingProducts (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Example staging data: some existing products with new prices, and one brand-new product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StagingProducts (ProductID, ProductName,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Price)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'Wireless Mouse'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799.00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'Office Chair'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'Furniture'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4999.00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'USB-C Hub'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1299.00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StagingProducts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target.ProductID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.ProductID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    target.ProductName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.ProductName,</w:t>
      </w:r>
      <w:r>
        <w:br/>
      </w:r>
      <w:r>
        <w:rPr>
          <w:rStyle w:val="NormalTok"/>
        </w:rPr>
        <w:t xml:space="preserve">        target.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target.Price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.Price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TARGET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(ProductID, ProductName,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Price)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.ProductID,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.ProductName,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.Price);</w:t>
      </w:r>
    </w:p>
    <w:p>
      <w:pPr>
        <w:pStyle w:val="FirstParagraph"/>
      </w:pPr>
      <w:r>
        <w:rPr>
          <w:rStyle w:val="VerbatimChar"/>
        </w:rPr>
        <w:t xml:space="preserve">MERGE</w:t>
      </w:r>
      <w:r>
        <w:t xml:space="preserve"> </w:t>
      </w:r>
      <w:r>
        <w:t xml:space="preserve">compares the target (</w:t>
      </w:r>
      <w:r>
        <w:rPr>
          <w:rStyle w:val="VerbatimChar"/>
        </w:rPr>
        <w:t xml:space="preserve">Products</w:t>
      </w:r>
      <w:r>
        <w:t xml:space="preserve">) against the source (</w:t>
      </w:r>
      <w:r>
        <w:rPr>
          <w:rStyle w:val="VerbatimChar"/>
        </w:rPr>
        <w:t xml:space="preserve">StagingProducts</w:t>
      </w:r>
      <w:r>
        <w:t xml:space="preserve">) on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: matching rows are updated with the new price/details, and rows present only in the staging table are inserted as new products.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xercise-4-pivot-and-unpivot"/>
    <w:p>
      <w:pPr>
        <w:pStyle w:val="Heading2"/>
      </w:pPr>
      <w:r>
        <w:t xml:space="preserve">Exercise 4: PIVOT and UNPIVOT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Show monthly sales quantity per product in a pivoted format, then unpivot it back.</w:t>
      </w:r>
    </w:p>
    <w:p>
      <w:pPr>
        <w:pStyle w:val="SourceCode"/>
      </w:pPr>
      <w:r>
        <w:rPr>
          <w:rStyle w:val="CommentTok"/>
        </w:rPr>
        <w:t xml:space="preserve">-- Step 1: Aggregate sales by Product and Month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MonthlySales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p.ProductName,</w:t>
      </w:r>
      <w:r>
        <w:br/>
      </w:r>
      <w:r>
        <w:rPr>
          <w:rStyle w:val="NormalTok"/>
        </w:rPr>
        <w:t xml:space="preserve">        DATENAME(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o.OrderDate)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SalesMonth,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(od.Quantity)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TotalQuantity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OrderDetails 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od.OrderID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od.ProductID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p.ProductID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p.ProductName, DATENAME(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o.OrderDate)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Step 2: PIVOT months into columns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ProductName, [January], [February], [March]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MonthlySales</w:t>
      </w:r>
      <w:r>
        <w:br/>
      </w:r>
      <w:r>
        <w:rPr>
          <w:rStyle w:val="NormalTok"/>
        </w:rPr>
        <w:t xml:space="preserve">PIVOT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(TotalQuantity)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SalesMonth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([January], [February], [March])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PivotedResult;</w:t>
      </w:r>
    </w:p>
    <w:p>
      <w:pPr>
        <w:pStyle w:val="SourceCode"/>
      </w:pPr>
      <w:r>
        <w:rPr>
          <w:rStyle w:val="CommentTok"/>
        </w:rPr>
        <w:t xml:space="preserve">-- Step 3: UNPIVOT back into row format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PivotedData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ProductName, [January], [February], [March]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MonthlySales</w:t>
      </w:r>
      <w:r>
        <w:br/>
      </w:r>
      <w:r>
        <w:rPr>
          <w:rStyle w:val="NormalTok"/>
        </w:rPr>
        <w:t xml:space="preserve">    PIVOT 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(TotalQuantity)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SalesMonth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([January], [February], [March])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PivotedResult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ProductName, SalesMonth, TotalQuantity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PivotedData</w:t>
      </w:r>
      <w:r>
        <w:br/>
      </w:r>
      <w:r>
        <w:rPr>
          <w:rStyle w:val="NormalTok"/>
        </w:rPr>
        <w:t xml:space="preserve">UNPIVOT (</w:t>
      </w:r>
      <w:r>
        <w:br/>
      </w:r>
      <w:r>
        <w:rPr>
          <w:rStyle w:val="NormalTok"/>
        </w:rPr>
        <w:t xml:space="preserve">    TotalQuantity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SalesMonth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([January], [February], [March])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UnpivotedResult;</w:t>
      </w:r>
    </w:p>
    <w:p>
      <w:pPr>
        <w:pStyle w:val="FirstParagraph"/>
      </w:pPr>
      <w:r>
        <w:rPr>
          <w:rStyle w:val="VerbatimChar"/>
        </w:rPr>
        <w:t xml:space="preserve">PIVOT</w:t>
      </w:r>
      <w:r>
        <w:t xml:space="preserve"> </w:t>
      </w:r>
      <w:r>
        <w:t xml:space="preserve">rotates distinct values from the</w:t>
      </w:r>
      <w:r>
        <w:t xml:space="preserve"> </w:t>
      </w:r>
      <w:r>
        <w:rPr>
          <w:rStyle w:val="VerbatimChar"/>
        </w:rPr>
        <w:t xml:space="preserve">SalesMonth</w:t>
      </w:r>
      <w:r>
        <w:t xml:space="preserve"> </w:t>
      </w:r>
      <w:r>
        <w:t xml:space="preserve">column into individual columns (one per month), aggregating quantities with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  <w:r>
        <w:t xml:space="preserve"> </w:t>
      </w:r>
      <w:r>
        <w:rPr>
          <w:rStyle w:val="VerbatimChar"/>
        </w:rPr>
        <w:t xml:space="preserve">UNPIVOT</w:t>
      </w:r>
      <w:r>
        <w:t xml:space="preserve"> </w:t>
      </w:r>
      <w:r>
        <w:t xml:space="preserve">performs the reverse transformation, turning those month columns back into rows with a</w:t>
      </w:r>
      <w:r>
        <w:t xml:space="preserve"> </w:t>
      </w:r>
      <w:r>
        <w:rPr>
          <w:rStyle w:val="VerbatimChar"/>
        </w:rPr>
        <w:t xml:space="preserve">SalesMonth</w:t>
      </w:r>
      <w:r>
        <w:t xml:space="preserve">/</w:t>
      </w:r>
      <w:r>
        <w:rPr>
          <w:rStyle w:val="VerbatimChar"/>
        </w:rPr>
        <w:t xml:space="preserve">TotalQuantity</w:t>
      </w:r>
      <w:r>
        <w:t xml:space="preserve"> </w:t>
      </w:r>
      <w:r>
        <w:t xml:space="preserve">pair — useful when a reporting tool needs the wide format but downstream processing needs the long format again.</w:t>
      </w:r>
    </w:p>
    <w:p>
      <w:r>
        <w:pict>
          <v:rect style="width:0;height:1.5pt" o:hralign="center" o:hrstd="t" o:hr="t"/>
        </w:pict>
      </w:r>
    </w:p>
    <w:bookmarkEnd w:id="25"/>
    <w:bookmarkStart w:id="26" w:name="Xf86800b996fcb5213dcb92350f607ec154f0e82"/>
    <w:p>
      <w:pPr>
        <w:pStyle w:val="Heading2"/>
      </w:pPr>
      <w:r>
        <w:t xml:space="preserve">Exercise 5: Using a CTE to Simplify a Query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Find all customers who have placed more than 3 orders in total.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CustomerOrderCounts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o.CustomerID,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(o.OrderID)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OrderCount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o.CustomerID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c.CustomerID,</w:t>
      </w:r>
      <w:r>
        <w:br/>
      </w:r>
      <w:r>
        <w:rPr>
          <w:rStyle w:val="NormalTok"/>
        </w:rPr>
        <w:t xml:space="preserve">    c.Name,</w:t>
      </w:r>
      <w:r>
        <w:br/>
      </w:r>
      <w:r>
        <w:rPr>
          <w:rStyle w:val="NormalTok"/>
        </w:rPr>
        <w:t xml:space="preserve">    coc.OrderCount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CustomerOrderCounts coc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coc.CustomerID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coc.OrderCount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CTE</w:t>
      </w:r>
      <w:r>
        <w:t xml:space="preserve"> </w:t>
      </w:r>
      <w:r>
        <w:rPr>
          <w:rStyle w:val="VerbatimChar"/>
        </w:rPr>
        <w:t xml:space="preserve">CustomerOrderCounts</w:t>
      </w:r>
      <w:r>
        <w:t xml:space="preserve"> </w:t>
      </w:r>
      <w:r>
        <w:t xml:space="preserve">first computes the number of orders per customer. The outer query then joins this pre-aggregated result back to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and filters on</w:t>
      </w:r>
      <w:r>
        <w:t xml:space="preserve"> </w:t>
      </w:r>
      <w:r>
        <w:rPr>
          <w:rStyle w:val="VerbatimChar"/>
        </w:rPr>
        <w:t xml:space="preserve">OrderCount &gt; 3</w:t>
      </w:r>
      <w:r>
        <w:t xml:space="preserve">. Using a CTE here avoids repeating the aggregation subquery and avoids the restriction that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cannot be applied to an already-aliased aggregate column outside its own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query — it also makes the query more readable by separating</w:t>
      </w:r>
      <w:r>
        <w:t xml:space="preserve"> </w:t>
      </w:r>
      <w:r>
        <w:t xml:space="preserve">“</w:t>
      </w:r>
      <w:r>
        <w:t xml:space="preserve">compute counts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filter and join.</w:t>
      </w:r>
      <w:r>
        <w:t xml:space="preserve">”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