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fce44d8c5b8e5bb3b0fe21b2db25c0c0709fcb"/>
    <w:p>
      <w:pPr>
        <w:pStyle w:val="Heading1"/>
      </w:pPr>
      <w:r>
        <w:t xml:space="preserve">NUnit Hands-on 6 — FourSeasonsLib, TestCaseSource — Answers</w:t>
      </w:r>
    </w:p>
    <w:bookmarkStart w:id="20" w:name="assumed-source-project-fourseasonslib"/>
    <w:p>
      <w:pPr>
        <w:pStyle w:val="Heading2"/>
      </w:pPr>
      <w:r>
        <w:t xml:space="preserve">Assumed Source Project: FourSeasonsLib</w:t>
      </w:r>
    </w:p>
    <w:p>
      <w:pPr>
        <w:pStyle w:val="SourceCode"/>
      </w:pPr>
      <w:r>
        <w:rPr>
          <w:rStyle w:val="CommentTok"/>
        </w:rPr>
        <w:t xml:space="preserve">// FourSeasonsLib/SeasonFinder.cs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FourSeasonsLib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SeasonFinder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MonthToSeason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"January"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"February"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"Monsoon"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"August"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"Monsoon"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"September"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"Monsoon"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"October"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"Autumn"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"Autumn"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GetSeason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MonthToSeason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month name."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MonthToSeason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(Note: September appears in both Monsoon and Autumn ranges per the exercise’s overlapping matrix; the dictionary above resolves the overlap by assigning it to Monsoon — adjust the source project’s business rule/tie-break logic to match whatever convention your actual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FourSeasonsLib</w:t>
      </w:r>
      <w:r>
        <w:rPr>
          <w:iCs/>
          <w:i/>
        </w:rPr>
        <w:t xml:space="preserve"> </w:t>
      </w:r>
      <w:r>
        <w:rPr>
          <w:iCs/>
          <w:i/>
        </w:rPr>
        <w:t xml:space="preserve">uses.)</w:t>
      </w:r>
    </w:p>
    <w:bookmarkEnd w:id="20"/>
    <w:bookmarkStart w:id="23" w:name="test-project-fourseasonslib.tests"/>
    <w:p>
      <w:pPr>
        <w:pStyle w:val="Heading2"/>
      </w:pPr>
      <w:r>
        <w:t xml:space="preserve">Test Project: FourSeasonsLib.Tests</w:t>
      </w:r>
    </w:p>
    <w:bookmarkStart w:id="21" w:name="X6b5248560e012377f6b6aca82fb3c9af2ea79f5"/>
    <w:p>
      <w:pPr>
        <w:pStyle w:val="Heading3"/>
      </w:pPr>
      <w:r>
        <w:t xml:space="preserve">Approach 1: Straightforward</w:t>
      </w:r>
      <w:r>
        <w:t xml:space="preserve"> </w:t>
      </w:r>
      <w:r>
        <w:rPr>
          <w:rStyle w:val="VerbatimChar"/>
        </w:rPr>
        <w:t xml:space="preserve">TestCaseSource</w:t>
      </w:r>
      <w:r>
        <w:t xml:space="preserve"> </w:t>
      </w:r>
      <w:r>
        <w:t xml:space="preserve">(inline static property)</w:t>
      </w:r>
    </w:p>
    <w:p>
      <w:pPr>
        <w:pStyle w:val="SourceCode"/>
      </w:pPr>
      <w:r>
        <w:rPr>
          <w:rStyle w:val="CommentTok"/>
        </w:rPr>
        <w:t xml:space="preserve">// FourSeasonsLib.Tests/SeasonFinderTests.cs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FourSeasonsLib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FourSeasonsLib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SeasonFinderTests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SeasonFinder _seasonFinder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_seasonFinder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SeasonFinder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Straightforward way: a static property returning test data directly in the same class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 MonthSeasonCases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"February"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"March"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"April"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"June"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"July"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"Monsoon"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"October"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"Autumn"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"November"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"Autumn"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"December"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"January"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TestCaseSource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MonthSeasonCases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GetSeason_GivenMonth_ReturnsExpectedSeason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_seasonFinder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Xbde3762686eb72adbacc5d688a794651b192b9b"/>
    <w:p>
      <w:pPr>
        <w:pStyle w:val="Heading3"/>
      </w:pPr>
      <w:r>
        <w:t xml:space="preserve">Approach 2: Alternate</w:t>
      </w:r>
      <w:r>
        <w:t xml:space="preserve"> </w:t>
      </w:r>
      <w:r>
        <w:rPr>
          <w:rStyle w:val="VerbatimChar"/>
        </w:rPr>
        <w:t xml:space="preserve">TestCaseSource</w:t>
      </w:r>
      <w:r>
        <w:t xml:space="preserve"> </w:t>
      </w:r>
      <w:r>
        <w:t xml:space="preserve">(separate source class + explicit assertion)</w:t>
      </w:r>
    </w:p>
    <w:p>
      <w:pPr>
        <w:pStyle w:val="SourceCode"/>
      </w:pPr>
      <w:r>
        <w:rPr>
          <w:rStyle w:val="CommentTok"/>
        </w:rPr>
        <w:t xml:space="preserve">// FourSeasonsLib.Tests/SeasonTestData.cs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FourSeasonsLib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dedicated, reusable data-source class, referenced via typeof() from the test class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SeasonTestData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 SeasonCases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"February"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"August"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"Monsoon"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"October"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"Autumn"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TestCaseData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FourSeasonsLib.Tests/SeasonFinderAlternateTests.cs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FourSeasonsLib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FourSeasonsLib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SeasonFinderAlternateTests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SeasonFinder _seasonFinder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_seasonFinder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SeasonFinder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SeasonTestData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SeasonTestData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SeasonCases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GetSeason_GivenMonth_ReturnsExpectedSeason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expectedSeason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_seasonFinder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expectedSeason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End w:id="23"/>
    <w:bookmarkStart w:id="24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Both approaches avoid writing one hand-crafted test method per month (which would mean 12 near-identical methods) by driving 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test method with a data source: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Approach 1 (straightforward)</w:t>
      </w:r>
      <w:r>
        <w:t xml:space="preserve"> </w:t>
      </w:r>
      <w:r>
        <w:t xml:space="preserve">keeps the data source as a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property inside the same test class and uses</w:t>
      </w:r>
      <w:r>
        <w:t xml:space="preserve"> </w:t>
      </w:r>
      <w:r>
        <w:rPr>
          <w:rStyle w:val="VerbatimChar"/>
        </w:rPr>
        <w:t xml:space="preserve">TestCaseData(...).Returns(...)</w:t>
      </w:r>
      <w:r>
        <w:t xml:space="preserve">, letting NUnit compare the method’s return value directly against the expected value — no explicit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call is even needed in the test body.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Approach 2 (alternate)</w:t>
      </w:r>
      <w:r>
        <w:t xml:space="preserve"> </w:t>
      </w:r>
      <w:r>
        <w:t xml:space="preserve">moves the test data into its own reusable class (</w:t>
      </w:r>
      <w:r>
        <w:rPr>
          <w:rStyle w:val="VerbatimChar"/>
        </w:rPr>
        <w:t xml:space="preserve">SeasonTestData</w:t>
      </w:r>
      <w:r>
        <w:t xml:space="preserve">), referenced from the test method via</w:t>
      </w:r>
      <w:r>
        <w:t xml:space="preserve"> </w:t>
      </w:r>
      <w:r>
        <w:rPr>
          <w:rStyle w:val="VerbatimChar"/>
        </w:rPr>
        <w:t xml:space="preserve">typeof(SeasonTestData)</w:t>
      </w:r>
      <w:r>
        <w:t xml:space="preserve">. This is useful when the same data set needs to be shared across multiple test fixtures, and it uses an explicit</w:t>
      </w:r>
      <w:r>
        <w:t xml:space="preserve"> </w:t>
      </w:r>
      <w:r>
        <w:rPr>
          <w:rStyle w:val="VerbatimChar"/>
        </w:rPr>
        <w:t xml:space="preserve">Assert.That</w:t>
      </w:r>
      <w:r>
        <w:t xml:space="preserve"> </w:t>
      </w:r>
      <w:r>
        <w:t xml:space="preserve">inside the method body instead of</w:t>
      </w:r>
      <w:r>
        <w:t xml:space="preserve"> </w:t>
      </w:r>
      <w:r>
        <w:rPr>
          <w:rStyle w:val="VerbatimChar"/>
        </w:rPr>
        <w:t xml:space="preserve">.Returns(...)</w:t>
      </w:r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w:r>
        <w:rPr>
          <w:rStyle w:val="VerbatimChar"/>
        </w:rPr>
        <w:t xml:space="preserve">[TestCaseSource]</w:t>
      </w:r>
      <w:r>
        <w:t xml:space="preserve"> </w:t>
      </w:r>
      <w:r>
        <w:t xml:space="preserve">decouples the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from the</w:t>
      </w:r>
      <w:r>
        <w:t xml:space="preserve"> </w:t>
      </w:r>
      <w:r>
        <w:rPr>
          <w:iCs/>
          <w:i/>
        </w:rPr>
        <w:t xml:space="preserve">test logic</w:t>
      </w:r>
      <w:r>
        <w:t xml:space="preserve">, satisfying the requirement to minimize the amount of test code relative to the number of execution paths (12 months / 5 seasons) being verified.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