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E351" w14:textId="111CCF53" w:rsidR="00E11250" w:rsidRPr="00E11250" w:rsidRDefault="00E11250" w:rsidP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t>Data Sourcing and Types of Data</w:t>
      </w:r>
    </w:p>
    <w:p w14:paraId="790E33D2" w14:textId="1B8BE53B" w:rsidR="00E11250" w:rsidRPr="00E11250" w:rsidRDefault="00E11250" w:rsidP="00E11250">
      <w:proofErr w:type="spellStart"/>
      <w:r w:rsidRPr="00E11250">
        <w:t>Quantexa</w:t>
      </w:r>
      <w:proofErr w:type="spellEnd"/>
      <w:r w:rsidRPr="00E11250">
        <w:t xml:space="preserve"> solutions leverage a wide range of datasets, with the specific data types used depending on the business use case. It’s essential to maintain a balance between the size of the deployed system and the value it delivers to end users.</w:t>
      </w:r>
    </w:p>
    <w:p w14:paraId="30E705A3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Common Categories of Data Processed:</w:t>
      </w:r>
    </w:p>
    <w:p w14:paraId="29D00BEB" w14:textId="77777777" w:rsidR="00E11250" w:rsidRPr="00E11250" w:rsidRDefault="00E11250" w:rsidP="00E11250">
      <w:r w:rsidRPr="00E11250">
        <w:rPr>
          <w:b/>
          <w:bCs/>
        </w:rPr>
        <w:t>Customer Data:</w:t>
      </w:r>
      <w:r w:rsidRPr="00E11250">
        <w:t xml:space="preserve"> Includes both corporate and personal details that uniquely identify banking customers.</w:t>
      </w:r>
    </w:p>
    <w:p w14:paraId="2D65F7B6" w14:textId="77777777" w:rsidR="00E11250" w:rsidRPr="00E11250" w:rsidRDefault="00E11250" w:rsidP="00E11250">
      <w:r w:rsidRPr="00E11250">
        <w:rPr>
          <w:b/>
          <w:bCs/>
        </w:rPr>
        <w:t>Account and Product Data:</w:t>
      </w:r>
      <w:r w:rsidRPr="00E11250">
        <w:t xml:space="preserve"> Covers information on individual accounts and the various financial products held by each customer.</w:t>
      </w:r>
    </w:p>
    <w:p w14:paraId="3BDCC394" w14:textId="77777777" w:rsidR="00E11250" w:rsidRPr="00E11250" w:rsidRDefault="00E11250" w:rsidP="00E11250">
      <w:r w:rsidRPr="00E11250">
        <w:rPr>
          <w:b/>
          <w:bCs/>
        </w:rPr>
        <w:t>Transactions:</w:t>
      </w:r>
      <w:r w:rsidRPr="00E11250">
        <w:t xml:space="preserve"> Records of financial activities such as payments and transfers, including SWIFT and Faster Payments.</w:t>
      </w:r>
    </w:p>
    <w:p w14:paraId="1F47E307" w14:textId="77777777" w:rsidR="00E11250" w:rsidRPr="00E11250" w:rsidRDefault="00E11250" w:rsidP="00E11250">
      <w:r w:rsidRPr="00E11250">
        <w:rPr>
          <w:b/>
          <w:bCs/>
        </w:rPr>
        <w:t>Market Trades:</w:t>
      </w:r>
      <w:r w:rsidRPr="00E11250">
        <w:t xml:space="preserve"> Data relating to trade settlements, market transactions, or asset-specific activities.</w:t>
      </w:r>
    </w:p>
    <w:p w14:paraId="23DD4A5A" w14:textId="77777777" w:rsidR="00E11250" w:rsidRPr="00E11250" w:rsidRDefault="00E11250" w:rsidP="00E11250">
      <w:r w:rsidRPr="00E11250">
        <w:rPr>
          <w:b/>
          <w:bCs/>
        </w:rPr>
        <w:t>Trade Finance Records:</w:t>
      </w:r>
      <w:r w:rsidRPr="00E11250">
        <w:t xml:space="preserve"> Documentation of trade finance operations and transactions.</w:t>
      </w:r>
    </w:p>
    <w:p w14:paraId="7B7A2B1E" w14:textId="77777777" w:rsidR="00E11250" w:rsidRPr="00E11250" w:rsidRDefault="00E11250" w:rsidP="00E11250">
      <w:r w:rsidRPr="00E11250">
        <w:rPr>
          <w:b/>
          <w:bCs/>
        </w:rPr>
        <w:t>Watchlist Data:</w:t>
      </w:r>
      <w:r w:rsidRPr="00E11250">
        <w:t xml:space="preserve"> Information from internal or external watchlists that indicate potential risks or suspicious </w:t>
      </w:r>
      <w:proofErr w:type="spellStart"/>
      <w:r w:rsidRPr="00E11250">
        <w:t>behavior</w:t>
      </w:r>
      <w:proofErr w:type="spellEnd"/>
      <w:r w:rsidRPr="00E11250">
        <w:t>.</w:t>
      </w:r>
    </w:p>
    <w:p w14:paraId="18D52898" w14:textId="77777777" w:rsidR="00E11250" w:rsidRPr="00E11250" w:rsidRDefault="00E11250" w:rsidP="00E11250">
      <w:r w:rsidRPr="00E11250">
        <w:rPr>
          <w:b/>
          <w:bCs/>
        </w:rPr>
        <w:t>External Corporate Registry Data:</w:t>
      </w:r>
      <w:r w:rsidRPr="00E11250">
        <w:t xml:space="preserve"> Business data sourced from external registries such as D&amp;B or </w:t>
      </w:r>
      <w:proofErr w:type="spellStart"/>
      <w:r w:rsidRPr="00E11250">
        <w:t>BvD</w:t>
      </w:r>
      <w:proofErr w:type="spellEnd"/>
      <w:r w:rsidRPr="00E11250">
        <w:t>.</w:t>
      </w:r>
    </w:p>
    <w:p w14:paraId="44830B16" w14:textId="77777777" w:rsidR="00E11250" w:rsidRPr="00E11250" w:rsidRDefault="00E11250" w:rsidP="00E11250">
      <w:r w:rsidRPr="00E11250">
        <w:rPr>
          <w:b/>
          <w:bCs/>
        </w:rPr>
        <w:t>Know Your Customer (KYC) Data:</w:t>
      </w:r>
      <w:r w:rsidRPr="00E11250">
        <w:t xml:space="preserve"> Comprehensive details on corporate customers, including due diligence information, business types, identifiers, addresses, contact information, income sources, </w:t>
      </w:r>
      <w:proofErr w:type="spellStart"/>
      <w:r w:rsidRPr="00E11250">
        <w:t>behavioral</w:t>
      </w:r>
      <w:proofErr w:type="spellEnd"/>
      <w:r w:rsidRPr="00E11250">
        <w:t xml:space="preserve"> attributes, business descriptions, number of employees, and PEP (Politically Exposed Person) indicators.</w:t>
      </w:r>
    </w:p>
    <w:p w14:paraId="154B6864" w14:textId="53E972C3" w:rsidR="00E11250" w:rsidRPr="00E11250" w:rsidRDefault="00E11250" w:rsidP="00E11250">
      <w:r w:rsidRPr="00E11250">
        <w:rPr>
          <w:b/>
          <w:bCs/>
        </w:rPr>
        <w:t>Case Data:</w:t>
      </w:r>
      <w:r w:rsidRPr="00E11250">
        <w:t xml:space="preserve"> Internal investigation records or Suspicious Activity Reports (SARs) that include case identifiers, alert levels, dates, and statuses, all of which contribute to customer risk assessments.</w:t>
      </w:r>
    </w:p>
    <w:p w14:paraId="08F06FDD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Additional Data Factors:</w:t>
      </w:r>
    </w:p>
    <w:p w14:paraId="0B003938" w14:textId="77777777" w:rsidR="00E11250" w:rsidRPr="00E11250" w:rsidRDefault="00E11250" w:rsidP="00E11250">
      <w:r w:rsidRPr="00E11250">
        <w:rPr>
          <w:b/>
          <w:bCs/>
        </w:rPr>
        <w:t>Data Scale:</w:t>
      </w:r>
      <w:r w:rsidRPr="00E11250">
        <w:t xml:space="preserve"> Refers to the total volume of data that must be processed by the system.</w:t>
      </w:r>
    </w:p>
    <w:p w14:paraId="229FDB35" w14:textId="77777777" w:rsidR="00E11250" w:rsidRPr="00E11250" w:rsidRDefault="00E11250" w:rsidP="00E11250">
      <w:r w:rsidRPr="00E11250">
        <w:rPr>
          <w:b/>
          <w:bCs/>
        </w:rPr>
        <w:t>Update Frequency:</w:t>
      </w:r>
      <w:r w:rsidRPr="00E11250">
        <w:t xml:space="preserve"> Indicates how regularly datasets are refreshed or updated.</w:t>
      </w:r>
    </w:p>
    <w:p w14:paraId="69A94D21" w14:textId="77777777" w:rsidR="00E11250" w:rsidRPr="00E11250" w:rsidRDefault="00E11250" w:rsidP="00E11250">
      <w:r w:rsidRPr="00E11250">
        <w:rPr>
          <w:b/>
          <w:bCs/>
        </w:rPr>
        <w:t>Historical Data Extent:</w:t>
      </w:r>
      <w:r w:rsidRPr="00E11250">
        <w:t xml:space="preserve"> Defines how far back in time data is </w:t>
      </w:r>
      <w:proofErr w:type="spellStart"/>
      <w:r w:rsidRPr="00E11250">
        <w:t>analyzed</w:t>
      </w:r>
      <w:proofErr w:type="spellEnd"/>
      <w:r w:rsidRPr="00E11250">
        <w:t xml:space="preserve">—for example, processing three years of historical transaction data for </w:t>
      </w:r>
      <w:proofErr w:type="spellStart"/>
      <w:r w:rsidRPr="00E11250">
        <w:t>behavioral</w:t>
      </w:r>
      <w:proofErr w:type="spellEnd"/>
      <w:r w:rsidRPr="00E11250">
        <w:t xml:space="preserve"> insights.</w:t>
      </w:r>
    </w:p>
    <w:p w14:paraId="7613822D" w14:textId="2F69322C" w:rsidR="00F832E9" w:rsidRDefault="00F832E9">
      <w:r>
        <w:t xml:space="preserve"> </w:t>
      </w:r>
    </w:p>
    <w:p w14:paraId="7622306A" w14:textId="77777777" w:rsidR="00E11250" w:rsidRDefault="00E11250"/>
    <w:p w14:paraId="4D1AF982" w14:textId="00CD190E" w:rsidR="00E11250" w:rsidRPr="00E11250" w:rsidRDefault="00E11250" w:rsidP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lastRenderedPageBreak/>
        <w:t xml:space="preserve">Data flow in </w:t>
      </w:r>
      <w:proofErr w:type="spellStart"/>
      <w:r w:rsidRPr="00E11250">
        <w:rPr>
          <w:b/>
          <w:bCs/>
          <w:sz w:val="32"/>
          <w:szCs w:val="32"/>
          <w:u w:val="single"/>
        </w:rPr>
        <w:t>Quantexa</w:t>
      </w:r>
      <w:proofErr w:type="spellEnd"/>
      <w:r w:rsidRPr="00E11250">
        <w:rPr>
          <w:b/>
          <w:bCs/>
          <w:sz w:val="32"/>
          <w:szCs w:val="32"/>
          <w:u w:val="single"/>
        </w:rPr>
        <w:t xml:space="preserve"> Implementations</w:t>
      </w:r>
    </w:p>
    <w:p w14:paraId="36E288F4" w14:textId="0D27DB76" w:rsidR="00E11250" w:rsidRPr="00E11250" w:rsidRDefault="00E11250" w:rsidP="00E11250">
      <w:proofErr w:type="spellStart"/>
      <w:r w:rsidRPr="00E11250">
        <w:t>Quantexa</w:t>
      </w:r>
      <w:proofErr w:type="spellEnd"/>
      <w:r w:rsidRPr="00E11250">
        <w:t xml:space="preserve"> systems often receive data from multiple, diverse sources. This data is then standardized, structured, and centralized to enable downstream processing and analysis.</w:t>
      </w:r>
    </w:p>
    <w:p w14:paraId="2BACCC90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A. Batch Data Ingestion (Standard Workflow)</w:t>
      </w:r>
    </w:p>
    <w:p w14:paraId="1F307493" w14:textId="77777777" w:rsidR="00E11250" w:rsidRPr="00E11250" w:rsidRDefault="00E11250" w:rsidP="00E11250">
      <w:r w:rsidRPr="00E11250">
        <w:t xml:space="preserve">Most </w:t>
      </w:r>
      <w:proofErr w:type="spellStart"/>
      <w:r w:rsidRPr="00E11250">
        <w:t>Quantexa</w:t>
      </w:r>
      <w:proofErr w:type="spellEnd"/>
      <w:r w:rsidRPr="00E11250">
        <w:t xml:space="preserve"> deployments perform </w:t>
      </w:r>
      <w:r w:rsidRPr="00E11250">
        <w:rPr>
          <w:b/>
          <w:bCs/>
        </w:rPr>
        <w:t>Batch Data Ingestion</w:t>
      </w:r>
      <w:r w:rsidRPr="00E11250">
        <w:t xml:space="preserve"> on a Spark or Hadoop-based platform, scheduled at regular intervals (daily or weekly).</w:t>
      </w:r>
    </w:p>
    <w:p w14:paraId="6FD1AFFB" w14:textId="33145005" w:rsidR="00E11250" w:rsidRPr="00E11250" w:rsidRDefault="00E11250" w:rsidP="00E11250">
      <w:r w:rsidRPr="00E11250">
        <w:t>The key stages in the Batch Data Ingestion pipeline include:</w:t>
      </w:r>
    </w:p>
    <w:p w14:paraId="5A592BF7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 xml:space="preserve">Stage 1 – </w:t>
      </w:r>
      <w:proofErr w:type="spellStart"/>
      <w:r w:rsidRPr="00E11250">
        <w:rPr>
          <w:b/>
          <w:bCs/>
        </w:rPr>
        <w:t>ImportRawToParquet</w:t>
      </w:r>
      <w:proofErr w:type="spellEnd"/>
    </w:p>
    <w:p w14:paraId="29F87F45" w14:textId="77777777" w:rsidR="00E11250" w:rsidRPr="00E11250" w:rsidRDefault="00E11250" w:rsidP="00E11250">
      <w:pPr>
        <w:numPr>
          <w:ilvl w:val="0"/>
          <w:numId w:val="1"/>
        </w:numPr>
      </w:pPr>
      <w:r w:rsidRPr="00E11250">
        <w:t>Consolidates multiple data types (e.g., RDBMS, JSON, Parquet, CSV) and converts them into Parquet format.</w:t>
      </w:r>
    </w:p>
    <w:p w14:paraId="0ABB0993" w14:textId="18DA2BBC" w:rsidR="00E11250" w:rsidRPr="00E11250" w:rsidRDefault="00E11250" w:rsidP="00E11250">
      <w:pPr>
        <w:numPr>
          <w:ilvl w:val="0"/>
          <w:numId w:val="1"/>
        </w:numPr>
      </w:pPr>
      <w:r w:rsidRPr="00E11250">
        <w:t>These Parquet files are stored in distributed storage systems (HDFS, GCS, or S3) for efficient downstream processing, taking advantage of Parquet’s compression and performance benefits.</w:t>
      </w:r>
    </w:p>
    <w:p w14:paraId="446B01C0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 xml:space="preserve">Stage 2 – </w:t>
      </w:r>
      <w:proofErr w:type="spellStart"/>
      <w:r w:rsidRPr="00E11250">
        <w:rPr>
          <w:b/>
          <w:bCs/>
        </w:rPr>
        <w:t>CreateCaseClass</w:t>
      </w:r>
      <w:proofErr w:type="spellEnd"/>
    </w:p>
    <w:p w14:paraId="582F092D" w14:textId="77777777" w:rsidR="00E11250" w:rsidRPr="00E11250" w:rsidRDefault="00E11250" w:rsidP="00E11250">
      <w:pPr>
        <w:numPr>
          <w:ilvl w:val="0"/>
          <w:numId w:val="2"/>
        </w:numPr>
      </w:pPr>
      <w:r w:rsidRPr="00E11250">
        <w:t xml:space="preserve">Converts raw Parquet data into a </w:t>
      </w:r>
      <w:r w:rsidRPr="00E11250">
        <w:rPr>
          <w:b/>
          <w:bCs/>
        </w:rPr>
        <w:t>Hierarchical Data Model</w:t>
      </w:r>
      <w:r w:rsidRPr="00E11250">
        <w:t>.</w:t>
      </w:r>
    </w:p>
    <w:p w14:paraId="0912D811" w14:textId="410766CB" w:rsidR="00E11250" w:rsidRPr="00E11250" w:rsidRDefault="00E11250" w:rsidP="00E11250">
      <w:pPr>
        <w:numPr>
          <w:ilvl w:val="0"/>
          <w:numId w:val="2"/>
        </w:numPr>
      </w:pPr>
      <w:r w:rsidRPr="00E11250">
        <w:t>Joins several source tables and selects only the required columns to structure the data.</w:t>
      </w:r>
    </w:p>
    <w:p w14:paraId="32F7C49E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 xml:space="preserve">Stage 3 – </w:t>
      </w:r>
      <w:proofErr w:type="spellStart"/>
      <w:r w:rsidRPr="00E11250">
        <w:rPr>
          <w:b/>
          <w:bCs/>
        </w:rPr>
        <w:t>CleanseCaseClass</w:t>
      </w:r>
      <w:proofErr w:type="spellEnd"/>
    </w:p>
    <w:p w14:paraId="663E9CF7" w14:textId="77777777" w:rsidR="00E11250" w:rsidRPr="00E11250" w:rsidRDefault="00E11250" w:rsidP="00E11250">
      <w:pPr>
        <w:numPr>
          <w:ilvl w:val="0"/>
          <w:numId w:val="3"/>
        </w:numPr>
      </w:pPr>
      <w:r w:rsidRPr="00E11250">
        <w:t>Utilizes models from Stage 2 to parse and clean data fields.</w:t>
      </w:r>
    </w:p>
    <w:p w14:paraId="0B189915" w14:textId="77777777" w:rsidR="00E11250" w:rsidRPr="00E11250" w:rsidRDefault="00E11250" w:rsidP="00E11250">
      <w:pPr>
        <w:numPr>
          <w:ilvl w:val="0"/>
          <w:numId w:val="3"/>
        </w:numPr>
      </w:pPr>
      <w:r w:rsidRPr="00E11250">
        <w:rPr>
          <w:b/>
          <w:bCs/>
        </w:rPr>
        <w:t>Parsing:</w:t>
      </w:r>
      <w:r w:rsidRPr="00E11250">
        <w:t xml:space="preserve"> Breaks data into standardized fields (e.g., splitting “</w:t>
      </w:r>
      <w:proofErr w:type="spellStart"/>
      <w:r w:rsidRPr="00E11250">
        <w:t>full_name</w:t>
      </w:r>
      <w:proofErr w:type="spellEnd"/>
      <w:r w:rsidRPr="00E11250">
        <w:t>” into “forename” and “surname”).</w:t>
      </w:r>
    </w:p>
    <w:p w14:paraId="5286F9E0" w14:textId="173A07DE" w:rsidR="00E11250" w:rsidRPr="00E11250" w:rsidRDefault="00E11250" w:rsidP="00E11250">
      <w:pPr>
        <w:numPr>
          <w:ilvl w:val="0"/>
          <w:numId w:val="3"/>
        </w:numPr>
      </w:pPr>
      <w:r w:rsidRPr="00E11250">
        <w:rPr>
          <w:b/>
          <w:bCs/>
        </w:rPr>
        <w:t>Cleansing:</w:t>
      </w:r>
      <w:r w:rsidRPr="00E11250">
        <w:t xml:space="preserve"> Normalizes formats, removes incorrect or redundant values (e.g., filtering out generic words like “limited”), and ensures consistency (e.g., unifying country name formats).</w:t>
      </w:r>
    </w:p>
    <w:p w14:paraId="1F2CD56D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 xml:space="preserve">Stage 4 – </w:t>
      </w:r>
      <w:proofErr w:type="spellStart"/>
      <w:r w:rsidRPr="00E11250">
        <w:rPr>
          <w:b/>
          <w:bCs/>
        </w:rPr>
        <w:t>CreateCompounds</w:t>
      </w:r>
      <w:proofErr w:type="spellEnd"/>
    </w:p>
    <w:p w14:paraId="16048247" w14:textId="77777777" w:rsidR="00E11250" w:rsidRPr="00E11250" w:rsidRDefault="00E11250" w:rsidP="00E11250">
      <w:pPr>
        <w:numPr>
          <w:ilvl w:val="0"/>
          <w:numId w:val="4"/>
        </w:numPr>
      </w:pPr>
      <w:r w:rsidRPr="00E11250">
        <w:t xml:space="preserve">Merges and aggregates entities from the cleansed datasets to create </w:t>
      </w:r>
      <w:r w:rsidRPr="00E11250">
        <w:rPr>
          <w:b/>
          <w:bCs/>
        </w:rPr>
        <w:t>unique entity identifiers</w:t>
      </w:r>
      <w:r w:rsidRPr="00E11250">
        <w:t xml:space="preserve"> (e.g., forename + surname + date of birth).</w:t>
      </w:r>
    </w:p>
    <w:p w14:paraId="4606A2CD" w14:textId="77777777" w:rsidR="00E11250" w:rsidRPr="00E11250" w:rsidRDefault="00E11250" w:rsidP="00E11250">
      <w:pPr>
        <w:numPr>
          <w:ilvl w:val="0"/>
          <w:numId w:val="4"/>
        </w:numPr>
      </w:pPr>
      <w:r w:rsidRPr="00E11250">
        <w:t xml:space="preserve">These identifiers connect entities across documents, forming a </w:t>
      </w:r>
      <w:r w:rsidRPr="00E11250">
        <w:rPr>
          <w:b/>
          <w:bCs/>
        </w:rPr>
        <w:t>network of linked data</w:t>
      </w:r>
      <w:r w:rsidRPr="00E11250">
        <w:t xml:space="preserve"> that enhances context and analysis.</w:t>
      </w:r>
    </w:p>
    <w:p w14:paraId="6C465EB2" w14:textId="77777777" w:rsidR="00E11250" w:rsidRDefault="00E11250"/>
    <w:p w14:paraId="21B8B4ED" w14:textId="77777777" w:rsidR="00E11250" w:rsidRDefault="00E11250"/>
    <w:p w14:paraId="47E23AC1" w14:textId="679D625B" w:rsidR="00E11250" w:rsidRPr="00E11250" w:rsidRDefault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lastRenderedPageBreak/>
        <w:t xml:space="preserve">Data flow in </w:t>
      </w:r>
      <w:proofErr w:type="spellStart"/>
      <w:r w:rsidRPr="00E11250">
        <w:rPr>
          <w:b/>
          <w:bCs/>
          <w:sz w:val="32"/>
          <w:szCs w:val="32"/>
          <w:u w:val="single"/>
        </w:rPr>
        <w:t>Quantexa</w:t>
      </w:r>
      <w:proofErr w:type="spellEnd"/>
      <w:r w:rsidRPr="00E11250">
        <w:rPr>
          <w:b/>
          <w:bCs/>
          <w:sz w:val="32"/>
          <w:szCs w:val="32"/>
          <w:u w:val="single"/>
        </w:rPr>
        <w:t xml:space="preserve"> Implementations</w:t>
      </w:r>
    </w:p>
    <w:p w14:paraId="7F693951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Additional Batch Stages (Post-Ingestion)</w:t>
      </w:r>
    </w:p>
    <w:p w14:paraId="02C8C7D9" w14:textId="77777777" w:rsidR="00E11250" w:rsidRPr="00E11250" w:rsidRDefault="00E11250" w:rsidP="00E11250">
      <w:r w:rsidRPr="00E11250">
        <w:t>Once ingestion is complete, several additional batch processes typically run within Spark:</w:t>
      </w:r>
    </w:p>
    <w:p w14:paraId="6BA78734" w14:textId="77777777" w:rsidR="00E11250" w:rsidRPr="00E11250" w:rsidRDefault="00E11250" w:rsidP="00E11250">
      <w:pPr>
        <w:numPr>
          <w:ilvl w:val="0"/>
          <w:numId w:val="5"/>
        </w:numPr>
      </w:pPr>
      <w:r w:rsidRPr="00E11250">
        <w:rPr>
          <w:b/>
          <w:bCs/>
        </w:rPr>
        <w:t>Entity Resolution &amp; Network Generation:</w:t>
      </w:r>
      <w:r w:rsidRPr="00E11250">
        <w:br/>
        <w:t xml:space="preserve">Performs batch-level entity resolution using the </w:t>
      </w:r>
      <w:r w:rsidRPr="00E11250">
        <w:rPr>
          <w:b/>
          <w:bCs/>
        </w:rPr>
        <w:t>Batch Resolver</w:t>
      </w:r>
      <w:r w:rsidRPr="00E11250">
        <w:t xml:space="preserve">, which creates a unified entity view across datasets. Network structures are built using </w:t>
      </w:r>
      <w:r w:rsidRPr="00E11250">
        <w:rPr>
          <w:b/>
          <w:bCs/>
        </w:rPr>
        <w:t>Graph Scripting DSL</w:t>
      </w:r>
      <w:r w:rsidRPr="00E11250">
        <w:t>.</w:t>
      </w:r>
    </w:p>
    <w:p w14:paraId="14FAB8A7" w14:textId="77777777" w:rsidR="00E11250" w:rsidRPr="00E11250" w:rsidRDefault="00E11250" w:rsidP="00E11250">
      <w:pPr>
        <w:numPr>
          <w:ilvl w:val="0"/>
          <w:numId w:val="5"/>
        </w:numPr>
      </w:pPr>
      <w:r w:rsidRPr="00E11250">
        <w:rPr>
          <w:b/>
          <w:bCs/>
        </w:rPr>
        <w:t>Scoring:</w:t>
      </w:r>
      <w:r w:rsidRPr="00E11250">
        <w:br/>
        <w:t xml:space="preserve">Applies scores and scorecards to documents, entities, and networks through the </w:t>
      </w:r>
      <w:r w:rsidRPr="00E11250">
        <w:rPr>
          <w:b/>
          <w:bCs/>
        </w:rPr>
        <w:t>Assess</w:t>
      </w:r>
      <w:r w:rsidRPr="00E11250">
        <w:t xml:space="preserve"> component. Precomputed scores may be stored in </w:t>
      </w:r>
      <w:r w:rsidRPr="00E11250">
        <w:rPr>
          <w:b/>
          <w:bCs/>
        </w:rPr>
        <w:t>Elasticsearch</w:t>
      </w:r>
      <w:r w:rsidRPr="00E11250">
        <w:t xml:space="preserve"> for fast retrieval.</w:t>
      </w:r>
    </w:p>
    <w:p w14:paraId="718A924A" w14:textId="77777777" w:rsidR="00E11250" w:rsidRPr="00E11250" w:rsidRDefault="00E11250" w:rsidP="00E11250">
      <w:pPr>
        <w:numPr>
          <w:ilvl w:val="0"/>
          <w:numId w:val="5"/>
        </w:numPr>
      </w:pPr>
      <w:r w:rsidRPr="00E11250">
        <w:rPr>
          <w:b/>
          <w:bCs/>
        </w:rPr>
        <w:t>Task Loading:</w:t>
      </w:r>
      <w:r w:rsidRPr="00E11250">
        <w:br/>
        <w:t xml:space="preserve">Flags and loads networks requiring investigation into </w:t>
      </w:r>
      <w:proofErr w:type="spellStart"/>
      <w:r w:rsidRPr="00E11250">
        <w:rPr>
          <w:b/>
          <w:bCs/>
        </w:rPr>
        <w:t>Quantexa</w:t>
      </w:r>
      <w:proofErr w:type="spellEnd"/>
      <w:r w:rsidRPr="00E11250">
        <w:rPr>
          <w:b/>
          <w:bCs/>
        </w:rPr>
        <w:t xml:space="preserve"> Explorer</w:t>
      </w:r>
      <w:r w:rsidRPr="00E11250">
        <w:t xml:space="preserve"> or third-party case management tools. The </w:t>
      </w:r>
      <w:r w:rsidRPr="00E11250">
        <w:rPr>
          <w:b/>
          <w:bCs/>
        </w:rPr>
        <w:t>Alerting Framework</w:t>
      </w:r>
      <w:r w:rsidRPr="00E11250">
        <w:t xml:space="preserve"> ensures tasks aren’t re-flagged.</w:t>
      </w:r>
    </w:p>
    <w:p w14:paraId="6C1B26DA" w14:textId="677CB015" w:rsidR="00E11250" w:rsidRPr="00E11250" w:rsidRDefault="00E11250" w:rsidP="00E11250"/>
    <w:p w14:paraId="68AE70B4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Pipeline Output and Persistence</w:t>
      </w:r>
    </w:p>
    <w:p w14:paraId="07269ECF" w14:textId="77777777" w:rsidR="00E11250" w:rsidRPr="00E11250" w:rsidRDefault="00E11250" w:rsidP="00E11250">
      <w:pPr>
        <w:numPr>
          <w:ilvl w:val="0"/>
          <w:numId w:val="6"/>
        </w:numPr>
      </w:pPr>
      <w:r w:rsidRPr="00E11250">
        <w:t xml:space="preserve">Processed outputs can be exported as reports, integrated with other systems, or used directly in </w:t>
      </w:r>
      <w:proofErr w:type="spellStart"/>
      <w:r w:rsidRPr="00E11250">
        <w:rPr>
          <w:b/>
          <w:bCs/>
        </w:rPr>
        <w:t>Quantexa</w:t>
      </w:r>
      <w:proofErr w:type="spellEnd"/>
      <w:r w:rsidRPr="00E11250">
        <w:rPr>
          <w:b/>
          <w:bCs/>
        </w:rPr>
        <w:t xml:space="preserve"> Explorer</w:t>
      </w:r>
      <w:r w:rsidRPr="00E11250">
        <w:t xml:space="preserve"> for investigation.</w:t>
      </w:r>
    </w:p>
    <w:p w14:paraId="6FA71083" w14:textId="77777777" w:rsidR="00E11250" w:rsidRPr="00E11250" w:rsidRDefault="00E11250" w:rsidP="00E11250">
      <w:pPr>
        <w:numPr>
          <w:ilvl w:val="0"/>
          <w:numId w:val="6"/>
        </w:numPr>
      </w:pPr>
      <w:r w:rsidRPr="00E11250">
        <w:t xml:space="preserve">Data ingestion results are retained after each run for </w:t>
      </w:r>
      <w:r w:rsidRPr="00E11250">
        <w:rPr>
          <w:b/>
          <w:bCs/>
        </w:rPr>
        <w:t>debugging, auditing, compliance</w:t>
      </w:r>
      <w:r w:rsidRPr="00E11250">
        <w:t>, and incremental (delta) updates.</w:t>
      </w:r>
    </w:p>
    <w:p w14:paraId="77315CF6" w14:textId="77777777" w:rsidR="00E11250" w:rsidRDefault="00E11250" w:rsidP="00E11250">
      <w:pPr>
        <w:numPr>
          <w:ilvl w:val="0"/>
          <w:numId w:val="6"/>
        </w:numPr>
      </w:pPr>
      <w:r w:rsidRPr="00E11250">
        <w:t xml:space="preserve">The </w:t>
      </w:r>
      <w:r w:rsidRPr="00E11250">
        <w:rPr>
          <w:b/>
          <w:bCs/>
        </w:rPr>
        <w:t>primary storage format</w:t>
      </w:r>
      <w:r w:rsidRPr="00E11250">
        <w:t xml:space="preserve"> for batch data is Parquet, stored within Spark’s file system.</w:t>
      </w:r>
    </w:p>
    <w:p w14:paraId="16FD75A8" w14:textId="77777777" w:rsidR="00E11250" w:rsidRDefault="00E11250" w:rsidP="00E11250"/>
    <w:p w14:paraId="0D67F6B4" w14:textId="31C471B0" w:rsidR="00E11250" w:rsidRPr="00E11250" w:rsidRDefault="00E11250" w:rsidP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t xml:space="preserve">Data flow in </w:t>
      </w:r>
      <w:proofErr w:type="spellStart"/>
      <w:r w:rsidRPr="00E11250">
        <w:rPr>
          <w:b/>
          <w:bCs/>
          <w:sz w:val="32"/>
          <w:szCs w:val="32"/>
          <w:u w:val="single"/>
        </w:rPr>
        <w:t>Quantexa</w:t>
      </w:r>
      <w:proofErr w:type="spellEnd"/>
      <w:r w:rsidRPr="00E11250">
        <w:rPr>
          <w:b/>
          <w:bCs/>
          <w:sz w:val="32"/>
          <w:szCs w:val="32"/>
          <w:u w:val="single"/>
        </w:rPr>
        <w:t xml:space="preserve"> Implementations</w:t>
      </w:r>
    </w:p>
    <w:p w14:paraId="5C53C8C8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B. Dynamic Data Ingestion</w:t>
      </w:r>
    </w:p>
    <w:p w14:paraId="154A7E78" w14:textId="77777777" w:rsidR="00E11250" w:rsidRPr="00E11250" w:rsidRDefault="00E11250" w:rsidP="00E11250">
      <w:r w:rsidRPr="00E11250">
        <w:t xml:space="preserve">Some implementations adopt a </w:t>
      </w:r>
      <w:r w:rsidRPr="00E11250">
        <w:rPr>
          <w:b/>
          <w:bCs/>
        </w:rPr>
        <w:t>streaming-based ingestion</w:t>
      </w:r>
      <w:r w:rsidRPr="00E11250">
        <w:t xml:space="preserve"> model, typically using </w:t>
      </w:r>
      <w:r w:rsidRPr="00E11250">
        <w:rPr>
          <w:b/>
          <w:bCs/>
        </w:rPr>
        <w:t>Apache Kafka</w:t>
      </w:r>
      <w:r w:rsidRPr="00E11250">
        <w:t>.</w:t>
      </w:r>
    </w:p>
    <w:p w14:paraId="65E284F4" w14:textId="77777777" w:rsidR="00E11250" w:rsidRPr="00E11250" w:rsidRDefault="00E11250" w:rsidP="00E11250">
      <w:pPr>
        <w:numPr>
          <w:ilvl w:val="0"/>
          <w:numId w:val="7"/>
        </w:numPr>
      </w:pPr>
      <w:r w:rsidRPr="00E11250">
        <w:t>In this method, the early batch steps (</w:t>
      </w:r>
      <w:proofErr w:type="spellStart"/>
      <w:r w:rsidRPr="00E11250">
        <w:rPr>
          <w:b/>
          <w:bCs/>
        </w:rPr>
        <w:t>ImportRawToParquet</w:t>
      </w:r>
      <w:proofErr w:type="spellEnd"/>
      <w:r w:rsidRPr="00E11250">
        <w:t xml:space="preserve"> and </w:t>
      </w:r>
      <w:proofErr w:type="spellStart"/>
      <w:r w:rsidRPr="00E11250">
        <w:rPr>
          <w:b/>
          <w:bCs/>
        </w:rPr>
        <w:t>CreateCaseClass</w:t>
      </w:r>
      <w:proofErr w:type="spellEnd"/>
      <w:r w:rsidRPr="00E11250">
        <w:t>) are skipped since data is provided in a nested or structured form.</w:t>
      </w:r>
    </w:p>
    <w:p w14:paraId="09CE72D5" w14:textId="3CAD1340" w:rsidR="00E11250" w:rsidRPr="00E11250" w:rsidRDefault="00E11250" w:rsidP="00E11250">
      <w:pPr>
        <w:numPr>
          <w:ilvl w:val="0"/>
          <w:numId w:val="7"/>
        </w:numPr>
      </w:pPr>
      <w:r w:rsidRPr="00E11250">
        <w:t xml:space="preserve">Data is processed in real time, handled document-by-document via a </w:t>
      </w:r>
      <w:r w:rsidRPr="00E11250">
        <w:rPr>
          <w:b/>
          <w:bCs/>
        </w:rPr>
        <w:t>Scala microservice</w:t>
      </w:r>
      <w:r w:rsidRPr="00E11250">
        <w:t xml:space="preserve">, and ingested directly into </w:t>
      </w:r>
      <w:r w:rsidRPr="00E11250">
        <w:rPr>
          <w:b/>
          <w:bCs/>
        </w:rPr>
        <w:t>Elasticsearch</w:t>
      </w:r>
      <w:r w:rsidRPr="00E11250">
        <w:t>.</w:t>
      </w:r>
    </w:p>
    <w:p w14:paraId="5017FFF0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lastRenderedPageBreak/>
        <w:t>C. Hybrid (Batch and Dynamic) Post-Ingestion Processing</w:t>
      </w:r>
    </w:p>
    <w:p w14:paraId="43C27A9F" w14:textId="77777777" w:rsidR="00E11250" w:rsidRPr="00E11250" w:rsidRDefault="00E11250" w:rsidP="00E11250">
      <w:r w:rsidRPr="00E11250">
        <w:t>Many projects combine both batch and dynamic pipelines for post-ingestion activities.</w:t>
      </w:r>
    </w:p>
    <w:p w14:paraId="16E6F6D6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 xml:space="preserve">Dynamic Processing (Mid-Tier in </w:t>
      </w:r>
      <w:proofErr w:type="spellStart"/>
      <w:r w:rsidRPr="00E11250">
        <w:rPr>
          <w:b/>
          <w:bCs/>
        </w:rPr>
        <w:t>Quantexa</w:t>
      </w:r>
      <w:proofErr w:type="spellEnd"/>
      <w:r w:rsidRPr="00E11250">
        <w:rPr>
          <w:b/>
          <w:bCs/>
        </w:rPr>
        <w:t>)</w:t>
      </w:r>
    </w:p>
    <w:p w14:paraId="359837C0" w14:textId="77777777" w:rsidR="00E11250" w:rsidRPr="00E11250" w:rsidRDefault="00E11250" w:rsidP="00E11250">
      <w:pPr>
        <w:numPr>
          <w:ilvl w:val="0"/>
          <w:numId w:val="8"/>
        </w:numPr>
      </w:pPr>
      <w:r w:rsidRPr="00E11250">
        <w:rPr>
          <w:b/>
          <w:bCs/>
        </w:rPr>
        <w:t>Interactive Entity Resolution and Network Building:</w:t>
      </w:r>
      <w:r w:rsidRPr="00E11250">
        <w:t xml:space="preserve"> Enables real-time identification and linkage of entities.</w:t>
      </w:r>
    </w:p>
    <w:p w14:paraId="2B9F8995" w14:textId="77777777" w:rsidR="00E11250" w:rsidRPr="00E11250" w:rsidRDefault="00E11250" w:rsidP="00E11250">
      <w:pPr>
        <w:numPr>
          <w:ilvl w:val="0"/>
          <w:numId w:val="8"/>
        </w:numPr>
      </w:pPr>
      <w:r w:rsidRPr="00E11250">
        <w:rPr>
          <w:b/>
          <w:bCs/>
        </w:rPr>
        <w:t>Dynamic Scoring:</w:t>
      </w:r>
      <w:r w:rsidRPr="00E11250">
        <w:t xml:space="preserve"> Continuously calculates risk or relevance scores.</w:t>
      </w:r>
    </w:p>
    <w:p w14:paraId="226DE1E3" w14:textId="77777777" w:rsidR="00E11250" w:rsidRPr="00E11250" w:rsidRDefault="00E11250" w:rsidP="00E11250">
      <w:pPr>
        <w:numPr>
          <w:ilvl w:val="0"/>
          <w:numId w:val="8"/>
        </w:numPr>
      </w:pPr>
      <w:r w:rsidRPr="00E11250">
        <w:rPr>
          <w:b/>
          <w:bCs/>
        </w:rPr>
        <w:t>Graph Scripting:</w:t>
      </w:r>
      <w:r w:rsidRPr="00E11250">
        <w:t xml:space="preserve"> Dynamically constructs networks through Graph Scripting at runtime.</w:t>
      </w:r>
    </w:p>
    <w:p w14:paraId="6C7F8340" w14:textId="77777777" w:rsidR="00E11250" w:rsidRPr="00E11250" w:rsidRDefault="00E11250" w:rsidP="00E11250">
      <w:pPr>
        <w:numPr>
          <w:ilvl w:val="0"/>
          <w:numId w:val="8"/>
        </w:numPr>
      </w:pPr>
      <w:r w:rsidRPr="00E11250">
        <w:rPr>
          <w:b/>
          <w:bCs/>
        </w:rPr>
        <w:t>UI Integration:</w:t>
      </w:r>
      <w:r w:rsidRPr="00E11250">
        <w:t xml:space="preserve"> Investigators can explore and build networks interactively in </w:t>
      </w:r>
      <w:proofErr w:type="spellStart"/>
      <w:r w:rsidRPr="00E11250">
        <w:rPr>
          <w:b/>
          <w:bCs/>
        </w:rPr>
        <w:t>Quantexa</w:t>
      </w:r>
      <w:proofErr w:type="spellEnd"/>
      <w:r w:rsidRPr="00E11250">
        <w:rPr>
          <w:b/>
          <w:bCs/>
        </w:rPr>
        <w:t xml:space="preserve"> Explorer</w:t>
      </w:r>
      <w:r w:rsidRPr="00E11250">
        <w:t>; external services may also trigger entity resolution (e.g., for real-time KYC checks).</w:t>
      </w:r>
    </w:p>
    <w:p w14:paraId="72DB1A85" w14:textId="77777777" w:rsidR="00E11250" w:rsidRPr="00E11250" w:rsidRDefault="00E11250" w:rsidP="00E11250">
      <w:pPr>
        <w:numPr>
          <w:ilvl w:val="0"/>
          <w:numId w:val="8"/>
        </w:numPr>
      </w:pPr>
      <w:r w:rsidRPr="00E11250">
        <w:t xml:space="preserve">The </w:t>
      </w:r>
      <w:r w:rsidRPr="00E11250">
        <w:rPr>
          <w:b/>
          <w:bCs/>
        </w:rPr>
        <w:t>Dynamic Resolver</w:t>
      </w:r>
      <w:r w:rsidRPr="00E11250">
        <w:t xml:space="preserve"> can create multiple, context-specific views of entities when requested.</w:t>
      </w:r>
    </w:p>
    <w:p w14:paraId="5A954C49" w14:textId="77777777" w:rsidR="00E11250" w:rsidRPr="00E11250" w:rsidRDefault="00E11250" w:rsidP="00E11250">
      <w:pPr>
        <w:numPr>
          <w:ilvl w:val="0"/>
          <w:numId w:val="8"/>
        </w:numPr>
      </w:pPr>
      <w:r w:rsidRPr="00E11250">
        <w:t xml:space="preserve">Mid-tier data typically resides in </w:t>
      </w:r>
      <w:r w:rsidRPr="00E11250">
        <w:rPr>
          <w:b/>
          <w:bCs/>
        </w:rPr>
        <w:t>Elasticsearch</w:t>
      </w:r>
      <w:r w:rsidRPr="00E11250">
        <w:t xml:space="preserve"> for optimized access.</w:t>
      </w:r>
    </w:p>
    <w:p w14:paraId="2C9C82FC" w14:textId="77777777" w:rsidR="00E11250" w:rsidRPr="00E11250" w:rsidRDefault="00E11250" w:rsidP="00E11250">
      <w:r w:rsidRPr="00E11250">
        <w:rPr>
          <w:b/>
          <w:bCs/>
        </w:rPr>
        <w:t>Investigations and Tasks:</w:t>
      </w:r>
      <w:r w:rsidRPr="00E11250">
        <w:br/>
        <w:t xml:space="preserve">These are maintained within an </w:t>
      </w:r>
      <w:r w:rsidRPr="00E11250">
        <w:rPr>
          <w:b/>
          <w:bCs/>
        </w:rPr>
        <w:t>RDBMS</w:t>
      </w:r>
      <w:r w:rsidRPr="00E11250">
        <w:t xml:space="preserve">. An </w:t>
      </w:r>
      <w:r w:rsidRPr="00E11250">
        <w:rPr>
          <w:i/>
          <w:iCs/>
        </w:rPr>
        <w:t>Investigation</w:t>
      </w:r>
      <w:r w:rsidRPr="00E11250">
        <w:t xml:space="preserve"> represents a network in the </w:t>
      </w:r>
      <w:proofErr w:type="spellStart"/>
      <w:r w:rsidRPr="00E11250">
        <w:t>Quantexa</w:t>
      </w:r>
      <w:proofErr w:type="spellEnd"/>
      <w:r w:rsidRPr="00E11250">
        <w:t xml:space="preserve"> interface, while a </w:t>
      </w:r>
      <w:r w:rsidRPr="00E11250">
        <w:rPr>
          <w:i/>
          <w:iCs/>
        </w:rPr>
        <w:t>Task</w:t>
      </w:r>
      <w:r w:rsidRPr="00E11250">
        <w:t xml:space="preserve"> highlights a specific investigation requiring user attention.</w:t>
      </w:r>
    </w:p>
    <w:p w14:paraId="0F91BFC0" w14:textId="77777777" w:rsidR="00E11250" w:rsidRDefault="00E11250"/>
    <w:p w14:paraId="6B5A5D1E" w14:textId="2DEA6BEC" w:rsidR="00E11250" w:rsidRPr="00E11250" w:rsidRDefault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t xml:space="preserve">Data Security </w:t>
      </w:r>
      <w:r>
        <w:rPr>
          <w:b/>
          <w:bCs/>
          <w:sz w:val="32"/>
          <w:szCs w:val="32"/>
          <w:u w:val="single"/>
        </w:rPr>
        <w:t>O</w:t>
      </w:r>
      <w:r w:rsidRPr="00E11250">
        <w:rPr>
          <w:b/>
          <w:bCs/>
          <w:sz w:val="32"/>
          <w:szCs w:val="32"/>
          <w:u w:val="single"/>
        </w:rPr>
        <w:t>ptions</w:t>
      </w:r>
    </w:p>
    <w:p w14:paraId="78408428" w14:textId="5F157DE5" w:rsidR="00E11250" w:rsidRPr="00E11250" w:rsidRDefault="00E11250" w:rsidP="00E11250">
      <w:r w:rsidRPr="00E11250">
        <w:t xml:space="preserve">To ensure appropriate access control, </w:t>
      </w:r>
      <w:proofErr w:type="spellStart"/>
      <w:r w:rsidRPr="00E11250">
        <w:t>Quantexa</w:t>
      </w:r>
      <w:proofErr w:type="spellEnd"/>
      <w:r w:rsidRPr="00E11250">
        <w:t xml:space="preserve"> enforces strict data restriction policies based on user permissions. Two main mechanisms are used:</w:t>
      </w:r>
    </w:p>
    <w:p w14:paraId="5E1AE565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1. Data Elimination</w:t>
      </w:r>
    </w:p>
    <w:p w14:paraId="48DF3F10" w14:textId="77777777" w:rsidR="00E11250" w:rsidRPr="00E11250" w:rsidRDefault="00E11250" w:rsidP="00E11250">
      <w:pPr>
        <w:numPr>
          <w:ilvl w:val="0"/>
          <w:numId w:val="9"/>
        </w:numPr>
      </w:pPr>
      <w:r w:rsidRPr="00E11250">
        <w:rPr>
          <w:b/>
          <w:bCs/>
        </w:rPr>
        <w:t>Definition:</w:t>
      </w:r>
      <w:r w:rsidRPr="00E11250">
        <w:t xml:space="preserve"> A security approach that completely hides documents from unauthorized users, making them appear </w:t>
      </w:r>
      <w:proofErr w:type="spellStart"/>
      <w:r w:rsidRPr="00E11250">
        <w:t>nonexistent</w:t>
      </w:r>
      <w:proofErr w:type="spellEnd"/>
      <w:r w:rsidRPr="00E11250">
        <w:t>.</w:t>
      </w:r>
    </w:p>
    <w:p w14:paraId="37832DD1" w14:textId="77777777" w:rsidR="00E11250" w:rsidRPr="00E11250" w:rsidRDefault="00E11250" w:rsidP="00E11250">
      <w:pPr>
        <w:numPr>
          <w:ilvl w:val="0"/>
          <w:numId w:val="9"/>
        </w:numPr>
      </w:pPr>
      <w:r w:rsidRPr="00E11250">
        <w:rPr>
          <w:b/>
          <w:bCs/>
        </w:rPr>
        <w:t>Purpose:</w:t>
      </w:r>
      <w:r w:rsidRPr="00E11250">
        <w:t xml:space="preserve"> Used for highly sensitive data where even the acknowledgment of existence is confidential. This prevents unauthorized link creation or inference.</w:t>
      </w:r>
    </w:p>
    <w:p w14:paraId="08F4AEB5" w14:textId="28748746" w:rsidR="00E11250" w:rsidRPr="00E11250" w:rsidRDefault="00E11250" w:rsidP="00E11250">
      <w:pPr>
        <w:numPr>
          <w:ilvl w:val="0"/>
          <w:numId w:val="9"/>
        </w:numPr>
      </w:pPr>
      <w:r w:rsidRPr="00E11250">
        <w:rPr>
          <w:b/>
          <w:bCs/>
        </w:rPr>
        <w:t>When to Use:</w:t>
      </w:r>
      <w:r w:rsidRPr="00E11250">
        <w:t xml:space="preserve"> Appropriate when the system must not reveal that a document exists at all—for example, in restricted investigations or cases requiring strict confidentiality.</w:t>
      </w:r>
    </w:p>
    <w:p w14:paraId="2DDF0F13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2. Data Masking</w:t>
      </w:r>
    </w:p>
    <w:p w14:paraId="61522404" w14:textId="77777777" w:rsidR="00E11250" w:rsidRPr="00E11250" w:rsidRDefault="00E11250" w:rsidP="00E11250">
      <w:pPr>
        <w:numPr>
          <w:ilvl w:val="0"/>
          <w:numId w:val="10"/>
        </w:numPr>
      </w:pPr>
      <w:r w:rsidRPr="00E11250">
        <w:rPr>
          <w:b/>
          <w:bCs/>
        </w:rPr>
        <w:t>Definition:</w:t>
      </w:r>
      <w:r w:rsidRPr="00E11250">
        <w:t xml:space="preserve"> Protects sensitive content by concealing specific details from unauthorized users.</w:t>
      </w:r>
    </w:p>
    <w:p w14:paraId="273C9EAC" w14:textId="77777777" w:rsidR="00E11250" w:rsidRPr="00E11250" w:rsidRDefault="00E11250" w:rsidP="00E11250">
      <w:pPr>
        <w:numPr>
          <w:ilvl w:val="0"/>
          <w:numId w:val="10"/>
        </w:numPr>
      </w:pPr>
      <w:r w:rsidRPr="00E11250">
        <w:rPr>
          <w:b/>
          <w:bCs/>
        </w:rPr>
        <w:lastRenderedPageBreak/>
        <w:t>Types:</w:t>
      </w:r>
    </w:p>
    <w:p w14:paraId="5B9FF191" w14:textId="77777777" w:rsidR="00E11250" w:rsidRPr="00E11250" w:rsidRDefault="00E11250" w:rsidP="00E11250">
      <w:pPr>
        <w:numPr>
          <w:ilvl w:val="1"/>
          <w:numId w:val="10"/>
        </w:numPr>
      </w:pPr>
      <w:r w:rsidRPr="00E11250">
        <w:rPr>
          <w:b/>
          <w:bCs/>
        </w:rPr>
        <w:t>Document-Level Masking:</w:t>
      </w:r>
      <w:r w:rsidRPr="00E11250">
        <w:t xml:space="preserve"> Conceals entire document categories (e.g., Customer, Corporate Registry, Trade).</w:t>
      </w:r>
    </w:p>
    <w:p w14:paraId="220333A6" w14:textId="77777777" w:rsidR="00E11250" w:rsidRPr="00E11250" w:rsidRDefault="00E11250" w:rsidP="00E11250">
      <w:pPr>
        <w:numPr>
          <w:ilvl w:val="1"/>
          <w:numId w:val="10"/>
        </w:numPr>
      </w:pPr>
      <w:r w:rsidRPr="00E11250">
        <w:rPr>
          <w:b/>
          <w:bCs/>
        </w:rPr>
        <w:t>Field-Level Masking:</w:t>
      </w:r>
      <w:r w:rsidRPr="00E11250">
        <w:t xml:space="preserve"> Hides specific attributes within a document.</w:t>
      </w:r>
    </w:p>
    <w:p w14:paraId="6FE13753" w14:textId="77777777" w:rsidR="00E11250" w:rsidRPr="00E11250" w:rsidRDefault="00E11250" w:rsidP="00E11250">
      <w:pPr>
        <w:numPr>
          <w:ilvl w:val="0"/>
          <w:numId w:val="10"/>
        </w:numPr>
      </w:pPr>
      <w:r w:rsidRPr="00E11250">
        <w:rPr>
          <w:b/>
          <w:bCs/>
        </w:rPr>
        <w:t>From a User Interface Perspective:</w:t>
      </w:r>
      <w:r w:rsidRPr="00E11250">
        <w:t xml:space="preserve"> Users may see that a document exists but cannot view masked details.</w:t>
      </w:r>
    </w:p>
    <w:p w14:paraId="2E146B0E" w14:textId="77777777" w:rsidR="00E11250" w:rsidRPr="00E11250" w:rsidRDefault="00E11250" w:rsidP="00E11250">
      <w:pPr>
        <w:numPr>
          <w:ilvl w:val="0"/>
          <w:numId w:val="10"/>
        </w:numPr>
      </w:pPr>
      <w:r w:rsidRPr="00E11250">
        <w:rPr>
          <w:b/>
          <w:bCs/>
        </w:rPr>
        <w:t>Application Areas:</w:t>
      </w:r>
      <w:r w:rsidRPr="00E11250">
        <w:t xml:space="preserve"> Used across Search, Entity Resolution, and Network components.</w:t>
      </w:r>
    </w:p>
    <w:p w14:paraId="605BD452" w14:textId="77777777" w:rsidR="00E11250" w:rsidRPr="00E11250" w:rsidRDefault="00E11250" w:rsidP="00E11250">
      <w:pPr>
        <w:numPr>
          <w:ilvl w:val="0"/>
          <w:numId w:val="10"/>
        </w:numPr>
      </w:pPr>
      <w:r w:rsidRPr="00E11250">
        <w:rPr>
          <w:b/>
          <w:bCs/>
        </w:rPr>
        <w:t>Purpose:</w:t>
      </w:r>
      <w:r w:rsidRPr="00E11250">
        <w:t xml:space="preserve"> Enables the system to provide analytical value while maintaining confidentiality of personal or classified information.</w:t>
      </w:r>
    </w:p>
    <w:p w14:paraId="3DED3EA2" w14:textId="77777777" w:rsidR="00E11250" w:rsidRPr="00E11250" w:rsidRDefault="00E11250" w:rsidP="00E11250">
      <w:pPr>
        <w:numPr>
          <w:ilvl w:val="0"/>
          <w:numId w:val="10"/>
        </w:numPr>
      </w:pPr>
      <w:r w:rsidRPr="00E11250">
        <w:rPr>
          <w:b/>
          <w:bCs/>
        </w:rPr>
        <w:t>When to Use:</w:t>
      </w:r>
      <w:r w:rsidRPr="00E11250">
        <w:t xml:space="preserve"> Suitable when users can know that a document exists but should not see its full contents (e.g., investigations shared across teams with different access levels).</w:t>
      </w:r>
    </w:p>
    <w:p w14:paraId="5DF3E705" w14:textId="3699895B" w:rsidR="00E11250" w:rsidRPr="00E11250" w:rsidRDefault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t>Data Security Options</w:t>
      </w:r>
    </w:p>
    <w:p w14:paraId="270A31C3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Row-Level Security</w:t>
      </w:r>
    </w:p>
    <w:p w14:paraId="4D23D57D" w14:textId="77777777" w:rsidR="00E11250" w:rsidRPr="00E11250" w:rsidRDefault="00E11250" w:rsidP="00E11250">
      <w:pPr>
        <w:numPr>
          <w:ilvl w:val="0"/>
          <w:numId w:val="11"/>
        </w:numPr>
      </w:pPr>
      <w:r w:rsidRPr="00E11250">
        <w:rPr>
          <w:b/>
          <w:bCs/>
        </w:rPr>
        <w:t>Definition:</w:t>
      </w:r>
      <w:r w:rsidRPr="00E11250">
        <w:br/>
        <w:t>Provides precise, fine-grained control over user access to documents and their fields, based on group membership or assigned roles.</w:t>
      </w:r>
    </w:p>
    <w:p w14:paraId="72C1F978" w14:textId="77777777" w:rsidR="00E11250" w:rsidRPr="00E11250" w:rsidRDefault="00E11250" w:rsidP="00E11250">
      <w:pPr>
        <w:numPr>
          <w:ilvl w:val="0"/>
          <w:numId w:val="11"/>
        </w:numPr>
      </w:pPr>
      <w:r w:rsidRPr="00E11250">
        <w:rPr>
          <w:b/>
          <w:bCs/>
        </w:rPr>
        <w:t>Application:</w:t>
      </w:r>
      <w:r w:rsidRPr="00E11250">
        <w:br/>
        <w:t>Can be implemented alongside document-level and field-level masking to allow selective visibility of document fields depending on their values.</w:t>
      </w:r>
    </w:p>
    <w:p w14:paraId="168C615D" w14:textId="77777777" w:rsidR="00E11250" w:rsidRPr="00E11250" w:rsidRDefault="00E11250" w:rsidP="00E11250">
      <w:pPr>
        <w:numPr>
          <w:ilvl w:val="0"/>
          <w:numId w:val="11"/>
        </w:numPr>
      </w:pPr>
      <w:r w:rsidRPr="00E11250">
        <w:rPr>
          <w:b/>
          <w:bCs/>
        </w:rPr>
        <w:t>Scenario:</w:t>
      </w:r>
      <w:r w:rsidRPr="00E11250">
        <w:br/>
        <w:t xml:space="preserve">Particularly effective for </w:t>
      </w:r>
      <w:r w:rsidRPr="00E11250">
        <w:rPr>
          <w:b/>
          <w:bCs/>
        </w:rPr>
        <w:t>location-based restrictions</w:t>
      </w:r>
      <w:r w:rsidRPr="00E11250">
        <w:t xml:space="preserve">—for example, allowing users to view data only for a specific region (such as a country or city). It is also applicable when access control depends on specific data attributes, such as </w:t>
      </w:r>
      <w:r w:rsidRPr="00E11250">
        <w:rPr>
          <w:b/>
          <w:bCs/>
        </w:rPr>
        <w:t>location</w:t>
      </w:r>
      <w:r w:rsidRPr="00E11250">
        <w:t xml:space="preserve"> or </w:t>
      </w:r>
      <w:r w:rsidRPr="00E11250">
        <w:rPr>
          <w:b/>
          <w:bCs/>
        </w:rPr>
        <w:t>age</w:t>
      </w:r>
      <w:r w:rsidRPr="00E11250">
        <w:t>.</w:t>
      </w:r>
    </w:p>
    <w:p w14:paraId="00B59338" w14:textId="461FFE59" w:rsidR="00E11250" w:rsidRPr="00E11250" w:rsidRDefault="00E11250" w:rsidP="00E11250">
      <w:pPr>
        <w:rPr>
          <w:b/>
          <w:bCs/>
          <w:sz w:val="32"/>
          <w:szCs w:val="32"/>
          <w:u w:val="single"/>
        </w:rPr>
      </w:pPr>
      <w:r w:rsidRPr="00E11250">
        <w:rPr>
          <w:b/>
          <w:bCs/>
          <w:sz w:val="32"/>
          <w:szCs w:val="32"/>
          <w:u w:val="single"/>
        </w:rPr>
        <w:t>Processing considerations and key principles</w:t>
      </w:r>
    </w:p>
    <w:p w14:paraId="50DD87BC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Data Design and Source Specification</w:t>
      </w:r>
    </w:p>
    <w:p w14:paraId="55C76E35" w14:textId="135246F1" w:rsidR="00E11250" w:rsidRPr="00E11250" w:rsidRDefault="00E11250" w:rsidP="00E11250">
      <w:r w:rsidRPr="00E11250">
        <w:t xml:space="preserve">Clearly defining and agreeing on data specifications from the outset is essential. This ensures consistency, facilitates progress in Data Ingestion development, and minimizes rework. Specifications typically include </w:t>
      </w:r>
      <w:r w:rsidRPr="00E11250">
        <w:rPr>
          <w:b/>
          <w:bCs/>
        </w:rPr>
        <w:t>data dictionaries</w:t>
      </w:r>
      <w:r w:rsidRPr="00E11250">
        <w:t xml:space="preserve">, </w:t>
      </w:r>
      <w:r w:rsidRPr="00E11250">
        <w:rPr>
          <w:b/>
          <w:bCs/>
        </w:rPr>
        <w:t>provisioning frequency</w:t>
      </w:r>
      <w:r w:rsidRPr="00E11250">
        <w:t xml:space="preserve">, and </w:t>
      </w:r>
      <w:r w:rsidRPr="00E11250">
        <w:rPr>
          <w:b/>
          <w:bCs/>
        </w:rPr>
        <w:t>data structure definitions</w:t>
      </w:r>
      <w:r w:rsidRPr="00E11250">
        <w:t>.</w:t>
      </w:r>
    </w:p>
    <w:p w14:paraId="5EDBDA0B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Document Model Format</w:t>
      </w:r>
    </w:p>
    <w:p w14:paraId="086D9E50" w14:textId="0E75C6A6" w:rsidR="00E11250" w:rsidRPr="00E11250" w:rsidRDefault="00E11250" w:rsidP="00E11250">
      <w:proofErr w:type="spellStart"/>
      <w:r w:rsidRPr="00E11250">
        <w:t>Quantexa</w:t>
      </w:r>
      <w:proofErr w:type="spellEnd"/>
      <w:r w:rsidRPr="00E11250">
        <w:t xml:space="preserve"> uses a </w:t>
      </w:r>
      <w:r w:rsidRPr="00E11250">
        <w:rPr>
          <w:b/>
          <w:bCs/>
        </w:rPr>
        <w:t>customizable document class model</w:t>
      </w:r>
      <w:r w:rsidRPr="00E11250">
        <w:t xml:space="preserve"> tailored to each implementation. The model design depends on the available data sources and the specific use case requirements.</w:t>
      </w:r>
    </w:p>
    <w:p w14:paraId="705F1496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lastRenderedPageBreak/>
        <w:t>Data Quality</w:t>
      </w:r>
    </w:p>
    <w:p w14:paraId="13F06012" w14:textId="73E93915" w:rsidR="00E11250" w:rsidRPr="00E11250" w:rsidRDefault="00E11250" w:rsidP="00E11250">
      <w:r w:rsidRPr="00E11250">
        <w:t xml:space="preserve">High-quality data is vital for effective entity resolution and linking. </w:t>
      </w:r>
      <w:proofErr w:type="spellStart"/>
      <w:r w:rsidRPr="00E11250">
        <w:t>Quantexa</w:t>
      </w:r>
      <w:proofErr w:type="spellEnd"/>
      <w:r w:rsidRPr="00E11250">
        <w:t xml:space="preserve"> emphasizes data cleansing—standardizing formats, applying synonyms, and using compound models to construct strong entity linkages even from imperfect data.</w:t>
      </w:r>
      <w:r w:rsidRPr="00E11250">
        <w:br/>
        <w:t>Data Quality Assessment is performed early in the process to ensure optimal downstream performance.</w:t>
      </w:r>
    </w:p>
    <w:p w14:paraId="07A25707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Data Value (The Golden Rule)</w:t>
      </w:r>
    </w:p>
    <w:p w14:paraId="79F15BC4" w14:textId="77777777" w:rsidR="00E11250" w:rsidRPr="00E11250" w:rsidRDefault="00E11250" w:rsidP="00E11250">
      <w:r w:rsidRPr="00E11250">
        <w:rPr>
          <w:b/>
          <w:bCs/>
        </w:rPr>
        <w:t>“Only process data that adds value.”</w:t>
      </w:r>
    </w:p>
    <w:p w14:paraId="3B5A5F32" w14:textId="77777777" w:rsidR="00E11250" w:rsidRPr="00E11250" w:rsidRDefault="00E11250" w:rsidP="00E11250">
      <w:r w:rsidRPr="00E11250">
        <w:t>Following this principle helps:</w:t>
      </w:r>
    </w:p>
    <w:p w14:paraId="1502D7B6" w14:textId="77777777" w:rsidR="00E11250" w:rsidRPr="00E11250" w:rsidRDefault="00E11250" w:rsidP="00E11250">
      <w:pPr>
        <w:numPr>
          <w:ilvl w:val="0"/>
          <w:numId w:val="12"/>
        </w:numPr>
      </w:pPr>
      <w:r w:rsidRPr="00E11250">
        <w:t>Avoid unnecessary complexity in Data Ingestion.</w:t>
      </w:r>
    </w:p>
    <w:p w14:paraId="291A0CBA" w14:textId="77777777" w:rsidR="00E11250" w:rsidRPr="00E11250" w:rsidRDefault="00E11250" w:rsidP="00E11250">
      <w:pPr>
        <w:numPr>
          <w:ilvl w:val="0"/>
          <w:numId w:val="12"/>
        </w:numPr>
      </w:pPr>
      <w:r w:rsidRPr="00E11250">
        <w:t>Reduce overall data processing time.</w:t>
      </w:r>
    </w:p>
    <w:p w14:paraId="67670A78" w14:textId="77777777" w:rsidR="00E11250" w:rsidRPr="00E11250" w:rsidRDefault="00E11250" w:rsidP="00E11250">
      <w:pPr>
        <w:numPr>
          <w:ilvl w:val="0"/>
          <w:numId w:val="12"/>
        </w:numPr>
      </w:pPr>
      <w:r w:rsidRPr="00E11250">
        <w:t xml:space="preserve">Maintain cost efficiency and manage </w:t>
      </w:r>
      <w:r w:rsidRPr="00E11250">
        <w:rPr>
          <w:b/>
          <w:bCs/>
        </w:rPr>
        <w:t>Total Cost of Ownership (TCO)</w:t>
      </w:r>
      <w:r w:rsidRPr="00E11250">
        <w:t>.</w:t>
      </w:r>
    </w:p>
    <w:p w14:paraId="770981B2" w14:textId="77777777" w:rsidR="00E11250" w:rsidRPr="00E11250" w:rsidRDefault="00E11250" w:rsidP="00E11250">
      <w:pPr>
        <w:numPr>
          <w:ilvl w:val="0"/>
          <w:numId w:val="12"/>
        </w:numPr>
      </w:pPr>
      <w:r w:rsidRPr="00E11250">
        <w:t>Ensure smart data inclusion by:</w:t>
      </w:r>
    </w:p>
    <w:p w14:paraId="42C17D47" w14:textId="77777777" w:rsidR="00E11250" w:rsidRPr="00E11250" w:rsidRDefault="00E11250" w:rsidP="00E11250">
      <w:pPr>
        <w:numPr>
          <w:ilvl w:val="1"/>
          <w:numId w:val="12"/>
        </w:numPr>
      </w:pPr>
      <w:r w:rsidRPr="00E11250">
        <w:t>Performing cost-benefit assessments (especially for third-party data).</w:t>
      </w:r>
    </w:p>
    <w:p w14:paraId="13EFF120" w14:textId="77777777" w:rsidR="00E11250" w:rsidRPr="00E11250" w:rsidRDefault="00E11250" w:rsidP="00E11250">
      <w:pPr>
        <w:numPr>
          <w:ilvl w:val="1"/>
          <w:numId w:val="12"/>
        </w:numPr>
      </w:pPr>
      <w:r w:rsidRPr="00E11250">
        <w:t>Excluding high-volume, low-value data (e.g., routine point-of-sale transactions).</w:t>
      </w:r>
    </w:p>
    <w:p w14:paraId="25D624C4" w14:textId="3390BF22" w:rsidR="00E11250" w:rsidRPr="00E11250" w:rsidRDefault="00E11250" w:rsidP="00E11250">
      <w:pPr>
        <w:numPr>
          <w:ilvl w:val="1"/>
          <w:numId w:val="12"/>
        </w:numPr>
      </w:pPr>
      <w:r w:rsidRPr="00E11250">
        <w:t>Selecting only valuable fields that contribute to insight generation.</w:t>
      </w:r>
    </w:p>
    <w:p w14:paraId="234D293A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Test Data</w:t>
      </w:r>
    </w:p>
    <w:p w14:paraId="6A2271C5" w14:textId="1FE521EE" w:rsidR="00E11250" w:rsidRPr="00E11250" w:rsidRDefault="00E11250" w:rsidP="00E11250">
      <w:r w:rsidRPr="00E11250">
        <w:t xml:space="preserve">Use </w:t>
      </w:r>
      <w:r w:rsidRPr="00E11250">
        <w:rPr>
          <w:b/>
          <w:bCs/>
        </w:rPr>
        <w:t>synthetic or mock data</w:t>
      </w:r>
      <w:r w:rsidRPr="00E11250">
        <w:t xml:space="preserve"> during development for quick iterations, efficient local testing, and greater flexibility without impacting production systems.</w:t>
      </w:r>
    </w:p>
    <w:p w14:paraId="467393E4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Production Data</w:t>
      </w:r>
    </w:p>
    <w:p w14:paraId="4A096EE9" w14:textId="7581D82C" w:rsidR="00E11250" w:rsidRPr="00E11250" w:rsidRDefault="00E11250" w:rsidP="00E11250">
      <w:r w:rsidRPr="00E11250">
        <w:t xml:space="preserve">Access to the </w:t>
      </w:r>
      <w:r w:rsidRPr="00E11250">
        <w:rPr>
          <w:b/>
          <w:bCs/>
        </w:rPr>
        <w:t>full production dataset</w:t>
      </w:r>
      <w:r w:rsidRPr="00E11250">
        <w:t xml:space="preserve"> is crucial for accurate validation, data quality reviews, Entity Resolution tuning, and Network or Scoring calibration.</w:t>
      </w:r>
      <w:r w:rsidRPr="00E11250">
        <w:br/>
        <w:t>Although strict access controls apply, they should not obstruct development productivity or performance analysis.</w:t>
      </w:r>
    </w:p>
    <w:p w14:paraId="66F0B47D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Data Ingestion Metrics</w:t>
      </w:r>
    </w:p>
    <w:p w14:paraId="3B490311" w14:textId="77777777" w:rsidR="00E11250" w:rsidRPr="00E11250" w:rsidRDefault="00E11250" w:rsidP="00E11250">
      <w:r w:rsidRPr="00E11250">
        <w:t xml:space="preserve">Metrics—typically collected in </w:t>
      </w:r>
      <w:r w:rsidRPr="00E11250">
        <w:rPr>
          <w:b/>
          <w:bCs/>
        </w:rPr>
        <w:t>Elasticsearch</w:t>
      </w:r>
      <w:r w:rsidRPr="00E11250">
        <w:t>—track key operational indicators such as:</w:t>
      </w:r>
    </w:p>
    <w:p w14:paraId="7B076CFA" w14:textId="77777777" w:rsidR="00E11250" w:rsidRPr="00E11250" w:rsidRDefault="00E11250" w:rsidP="00E11250">
      <w:pPr>
        <w:numPr>
          <w:ilvl w:val="0"/>
          <w:numId w:val="13"/>
        </w:numPr>
      </w:pPr>
      <w:r w:rsidRPr="00E11250">
        <w:t>Processing times and throughput</w:t>
      </w:r>
    </w:p>
    <w:p w14:paraId="66ECAFCC" w14:textId="77777777" w:rsidR="00E11250" w:rsidRPr="00E11250" w:rsidRDefault="00E11250" w:rsidP="00E11250">
      <w:pPr>
        <w:numPr>
          <w:ilvl w:val="0"/>
          <w:numId w:val="13"/>
        </w:numPr>
      </w:pPr>
      <w:r w:rsidRPr="00E11250">
        <w:t>Data ingestion volumes</w:t>
      </w:r>
    </w:p>
    <w:p w14:paraId="2121246A" w14:textId="77777777" w:rsidR="00E11250" w:rsidRPr="00E11250" w:rsidRDefault="00E11250" w:rsidP="00E11250">
      <w:pPr>
        <w:numPr>
          <w:ilvl w:val="0"/>
          <w:numId w:val="13"/>
        </w:numPr>
      </w:pPr>
      <w:r w:rsidRPr="00E11250">
        <w:t>Provisioning or performance bottlenecks</w:t>
      </w:r>
    </w:p>
    <w:p w14:paraId="0F7EC14A" w14:textId="77777777" w:rsidR="00E11250" w:rsidRPr="00E11250" w:rsidRDefault="00E11250" w:rsidP="00E11250">
      <w:pPr>
        <w:numPr>
          <w:ilvl w:val="0"/>
          <w:numId w:val="13"/>
        </w:numPr>
      </w:pPr>
      <w:r w:rsidRPr="00E11250">
        <w:t>Data visibility and user-accessed loads</w:t>
      </w:r>
    </w:p>
    <w:p w14:paraId="3A55B3BB" w14:textId="00A2221A" w:rsidR="00E11250" w:rsidRPr="00E11250" w:rsidRDefault="00E11250" w:rsidP="00E11250">
      <w:r w:rsidRPr="00E11250">
        <w:lastRenderedPageBreak/>
        <w:t xml:space="preserve">These insights support both </w:t>
      </w:r>
      <w:r w:rsidRPr="00E11250">
        <w:rPr>
          <w:b/>
          <w:bCs/>
        </w:rPr>
        <w:t>optimization</w:t>
      </w:r>
      <w:r w:rsidRPr="00E11250">
        <w:t xml:space="preserve"> and </w:t>
      </w:r>
      <w:r w:rsidRPr="00E11250">
        <w:rPr>
          <w:b/>
          <w:bCs/>
        </w:rPr>
        <w:t>auditability</w:t>
      </w:r>
      <w:r w:rsidRPr="00E11250">
        <w:t>.</w:t>
      </w:r>
    </w:p>
    <w:p w14:paraId="04DCDC96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Scheduler</w:t>
      </w:r>
    </w:p>
    <w:p w14:paraId="33F7AB35" w14:textId="7B658530" w:rsidR="00E11250" w:rsidRPr="00E11250" w:rsidRDefault="00E11250" w:rsidP="00E11250">
      <w:r w:rsidRPr="00E11250">
        <w:t xml:space="preserve">Batch jobs are orchestrated using tools like </w:t>
      </w:r>
      <w:r w:rsidRPr="00E11250">
        <w:rPr>
          <w:b/>
          <w:bCs/>
        </w:rPr>
        <w:t>Airflow</w:t>
      </w:r>
      <w:r w:rsidRPr="00E11250">
        <w:t xml:space="preserve">, </w:t>
      </w:r>
      <w:r w:rsidRPr="00E11250">
        <w:rPr>
          <w:b/>
          <w:bCs/>
        </w:rPr>
        <w:t>Autosys</w:t>
      </w:r>
      <w:r w:rsidRPr="00E11250">
        <w:t xml:space="preserve">, or </w:t>
      </w:r>
      <w:r w:rsidRPr="00E11250">
        <w:rPr>
          <w:b/>
          <w:bCs/>
        </w:rPr>
        <w:t>Control-M</w:t>
      </w:r>
      <w:r w:rsidRPr="00E11250">
        <w:t>, enabling flexible scheduling and progress monitoring through visible tracking dashboards.</w:t>
      </w:r>
    </w:p>
    <w:p w14:paraId="3F6FD1E4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User Actions</w:t>
      </w:r>
    </w:p>
    <w:p w14:paraId="41977709" w14:textId="2E8D67D8" w:rsidR="00E11250" w:rsidRPr="00E11250" w:rsidRDefault="00E11250" w:rsidP="00E11250">
      <w:r w:rsidRPr="00E11250">
        <w:t xml:space="preserve">User interactions (such as searches, network exploration, and investigation creation) are recorded and stored in the database. This also includes </w:t>
      </w:r>
      <w:r w:rsidRPr="00E11250">
        <w:rPr>
          <w:b/>
          <w:bCs/>
        </w:rPr>
        <w:t>login/logout tracking</w:t>
      </w:r>
      <w:r w:rsidRPr="00E11250">
        <w:t xml:space="preserve"> to maintain audit trails and monitor system usage.</w:t>
      </w:r>
    </w:p>
    <w:p w14:paraId="6ABE5C93" w14:textId="77777777" w:rsidR="00E11250" w:rsidRPr="00E11250" w:rsidRDefault="00E11250" w:rsidP="00E11250">
      <w:pPr>
        <w:rPr>
          <w:b/>
          <w:bCs/>
        </w:rPr>
      </w:pPr>
      <w:r w:rsidRPr="00E11250">
        <w:rPr>
          <w:b/>
          <w:bCs/>
        </w:rPr>
        <w:t>Streaming System</w:t>
      </w:r>
    </w:p>
    <w:p w14:paraId="23F2581C" w14:textId="77777777" w:rsidR="00E11250" w:rsidRPr="00E11250" w:rsidRDefault="00E11250" w:rsidP="00E11250">
      <w:r w:rsidRPr="00E11250">
        <w:t xml:space="preserve">For dynamic data ingestion, </w:t>
      </w:r>
      <w:proofErr w:type="spellStart"/>
      <w:r w:rsidRPr="00E11250">
        <w:t>Quantexa</w:t>
      </w:r>
      <w:proofErr w:type="spellEnd"/>
      <w:r w:rsidRPr="00E11250">
        <w:t xml:space="preserve"> leverages </w:t>
      </w:r>
      <w:r w:rsidRPr="00E11250">
        <w:rPr>
          <w:b/>
          <w:bCs/>
        </w:rPr>
        <w:t>Apache Kafka</w:t>
      </w:r>
      <w:r w:rsidRPr="00E11250">
        <w:t xml:space="preserve"> and similar technologies.</w:t>
      </w:r>
      <w:r w:rsidRPr="00E11250">
        <w:br/>
        <w:t xml:space="preserve">This enables continuous streaming of data that is </w:t>
      </w:r>
      <w:r w:rsidRPr="00E11250">
        <w:rPr>
          <w:b/>
          <w:bCs/>
        </w:rPr>
        <w:t>cleansed, parsed, and directly loaded</w:t>
      </w:r>
      <w:r w:rsidRPr="00E11250">
        <w:t xml:space="preserve"> into </w:t>
      </w:r>
      <w:r w:rsidRPr="00E11250">
        <w:rPr>
          <w:b/>
          <w:bCs/>
        </w:rPr>
        <w:t>Elasticsearch</w:t>
      </w:r>
      <w:r w:rsidRPr="00E11250">
        <w:t>—supporting near real-time updates and analytics.</w:t>
      </w:r>
    </w:p>
    <w:p w14:paraId="09185543" w14:textId="77777777" w:rsidR="00E11250" w:rsidRDefault="00E11250"/>
    <w:p w14:paraId="0D2EF9CB" w14:textId="77777777" w:rsidR="00E11250" w:rsidRDefault="00E11250"/>
    <w:p w14:paraId="326B99B6" w14:textId="77777777" w:rsidR="00E11250" w:rsidRDefault="00E11250"/>
    <w:p w14:paraId="1A0E5558" w14:textId="77777777" w:rsidR="00E11250" w:rsidRDefault="00E11250"/>
    <w:sectPr w:rsidR="00E11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11C7"/>
    <w:multiLevelType w:val="multilevel"/>
    <w:tmpl w:val="730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199"/>
    <w:multiLevelType w:val="multilevel"/>
    <w:tmpl w:val="4CC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3F0D"/>
    <w:multiLevelType w:val="multilevel"/>
    <w:tmpl w:val="342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04DC4"/>
    <w:multiLevelType w:val="multilevel"/>
    <w:tmpl w:val="353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172D5"/>
    <w:multiLevelType w:val="multilevel"/>
    <w:tmpl w:val="670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F34D7"/>
    <w:multiLevelType w:val="multilevel"/>
    <w:tmpl w:val="A43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230D6"/>
    <w:multiLevelType w:val="multilevel"/>
    <w:tmpl w:val="955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16F4A"/>
    <w:multiLevelType w:val="multilevel"/>
    <w:tmpl w:val="81B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915B7"/>
    <w:multiLevelType w:val="multilevel"/>
    <w:tmpl w:val="848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914D9"/>
    <w:multiLevelType w:val="multilevel"/>
    <w:tmpl w:val="04D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61527"/>
    <w:multiLevelType w:val="multilevel"/>
    <w:tmpl w:val="633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12CFB"/>
    <w:multiLevelType w:val="multilevel"/>
    <w:tmpl w:val="AF2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12975"/>
    <w:multiLevelType w:val="multilevel"/>
    <w:tmpl w:val="477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628316">
    <w:abstractNumId w:val="5"/>
  </w:num>
  <w:num w:numId="2" w16cid:durableId="1009714761">
    <w:abstractNumId w:val="8"/>
  </w:num>
  <w:num w:numId="3" w16cid:durableId="1499350361">
    <w:abstractNumId w:val="6"/>
  </w:num>
  <w:num w:numId="4" w16cid:durableId="312103753">
    <w:abstractNumId w:val="3"/>
  </w:num>
  <w:num w:numId="5" w16cid:durableId="1942686642">
    <w:abstractNumId w:val="2"/>
  </w:num>
  <w:num w:numId="6" w16cid:durableId="1210462236">
    <w:abstractNumId w:val="9"/>
  </w:num>
  <w:num w:numId="7" w16cid:durableId="767044837">
    <w:abstractNumId w:val="11"/>
  </w:num>
  <w:num w:numId="8" w16cid:durableId="692265301">
    <w:abstractNumId w:val="12"/>
  </w:num>
  <w:num w:numId="9" w16cid:durableId="1643194102">
    <w:abstractNumId w:val="0"/>
  </w:num>
  <w:num w:numId="10" w16cid:durableId="1642727605">
    <w:abstractNumId w:val="10"/>
  </w:num>
  <w:num w:numId="11" w16cid:durableId="525869633">
    <w:abstractNumId w:val="7"/>
  </w:num>
  <w:num w:numId="12" w16cid:durableId="686056224">
    <w:abstractNumId w:val="4"/>
  </w:num>
  <w:num w:numId="13" w16cid:durableId="1106273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E9"/>
    <w:rsid w:val="00625D7F"/>
    <w:rsid w:val="00E11250"/>
    <w:rsid w:val="00F8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4637"/>
  <w15:chartTrackingRefBased/>
  <w15:docId w15:val="{7CC18E78-2C14-42D4-9688-F75EA902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 Ray</dc:creator>
  <cp:keywords/>
  <dc:description/>
  <cp:lastModifiedBy>Sidhartha Ray</cp:lastModifiedBy>
  <cp:revision>1</cp:revision>
  <dcterms:created xsi:type="dcterms:W3CDTF">2025-12-01T18:38:00Z</dcterms:created>
  <dcterms:modified xsi:type="dcterms:W3CDTF">2025-12-04T14:28:00Z</dcterms:modified>
</cp:coreProperties>
</file>