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sz w:val="31"/>
          <w:szCs w:val="31"/>
          <w:highlight w:val="white"/>
        </w:rPr>
      </w:pPr>
      <w:commentRangeStart w:id="0"/>
      <w:r w:rsidDel="00000000" w:rsidR="00000000" w:rsidRPr="00000000">
        <w:rPr>
          <w:rFonts w:ascii="Montserrat" w:cs="Montserrat" w:eastAsia="Montserrat" w:hAnsi="Montserrat"/>
          <w:b w:val="1"/>
          <w:sz w:val="31"/>
          <w:szCs w:val="31"/>
          <w:highlight w:val="white"/>
          <w:rtl w:val="0"/>
        </w:rPr>
        <w:t xml:space="preserve">From Gross Retention to Beautiful Retention in 90 Days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Proxima Nova" w:cs="Proxima Nova" w:eastAsia="Proxima Nova" w:hAnsi="Proxima Nova"/>
          <w:sz w:val="10"/>
          <w:szCs w:val="10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3"/>
          <w:szCs w:val="3"/>
          <w:highlight w:val="white"/>
          <w:rtl w:val="0"/>
        </w:rPr>
        <w:br w:type="textWrapping"/>
      </w:r>
      <w:commentRangeStart w:id="1"/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Developed by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: &lt; </w:t>
      </w:r>
      <w:commentRangeStart w:id="2"/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Champion Name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Proxima Nova" w:cs="Proxima Nova" w:eastAsia="Proxima Nova" w:hAnsi="Proxima Nova"/>
          <w:sz w:val="20"/>
          <w:szCs w:val="20"/>
          <w:highlight w:val="white"/>
          <w:rtl w:val="0"/>
        </w:rPr>
        <w:t xml:space="preserve"> &gt;, &lt; Key Deal Players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Our vision is growing, but funding is shrinking.</w:t>
      </w:r>
    </w:p>
    <w:p w:rsidR="00000000" w:rsidDel="00000000" w:rsidP="00000000" w:rsidRDefault="00000000" w:rsidRPr="00000000" w14:paraId="00000006">
      <w:pPr>
        <w:rPr>
          <w:rFonts w:ascii="Proxima Nova" w:cs="Proxima Nova" w:eastAsia="Proxima Nova" w:hAnsi="Proxima Nova"/>
          <w:b w:val="1"/>
          <w:sz w:val="11"/>
          <w:szCs w:val="1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Proxima Nova" w:cs="Proxima Nova" w:eastAsia="Proxima Nova" w:hAnsi="Proxima Nova"/>
          <w:sz w:val="21"/>
          <w:szCs w:val="21"/>
          <w:highlight w:val="white"/>
        </w:rPr>
      </w:pPr>
      <w:commentRangeStart w:id="3"/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Capital markets shrank like cotton sweaters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in the dryer during H1. Yet, we’re expecting to set up for our largest raise to date — a $100M+ Series C — later this year to enable our </w:t>
      </w:r>
      <w:commentRangeStart w:id="4"/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“</w:t>
      </w:r>
      <w:r w:rsidDel="00000000" w:rsidR="00000000" w:rsidRPr="00000000">
        <w:rPr>
          <w:rFonts w:ascii="Proxima Nova" w:cs="Proxima Nova" w:eastAsia="Proxima Nova" w:hAnsi="Proxima Nova"/>
          <w:b w:val="1"/>
          <w:sz w:val="21"/>
          <w:szCs w:val="21"/>
          <w:highlight w:val="white"/>
          <w:rtl w:val="0"/>
        </w:rPr>
        <w:t xml:space="preserve">One for All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”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vision.</w:t>
      </w:r>
    </w:p>
    <w:p w:rsidR="00000000" w:rsidDel="00000000" w:rsidP="00000000" w:rsidRDefault="00000000" w:rsidRPr="00000000" w14:paraId="00000008">
      <w:pPr>
        <w:ind w:left="0" w:firstLine="0"/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right="-90" w:firstLine="0"/>
        <w:rPr>
          <w:rFonts w:ascii="Proxima Nova" w:cs="Proxima Nova" w:eastAsia="Proxima Nova" w:hAnsi="Proxima Nova"/>
          <w:sz w:val="11"/>
          <w:szCs w:val="1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u w:val="single"/>
          <w:rtl w:val="0"/>
        </w:rPr>
        <w:t xml:space="preserve">Despite aggressive top-funnel investments to grow acquisition, our </w:t>
      </w:r>
      <w:commentRangeStart w:id="5"/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u w:val="single"/>
          <w:rtl w:val="0"/>
        </w:rPr>
        <w:t xml:space="preserve">run-rate looks like a treadmill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u w:val="single"/>
          <w:rtl w:val="0"/>
        </w:rPr>
        <w:t xml:space="preserve">: 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Churn is up, with gross retention at </w:t>
      </w:r>
      <w:commentRangeStart w:id="6"/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68% of YR1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of accounts renewed (75% last year).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This translates to $5M in revenue lost during Q1’s renewal period alone.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commentRangeStart w:id="7"/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Which also means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we’ve lost an estimated $21M in expansion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Proxima Nova" w:cs="Proxima Nova" w:eastAsia="Proxima Nova" w:hAnsi="Proxima Nova"/>
          <w:b w:val="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The key to unlocking our Series C, while avoiding a downround.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Proxima Nova" w:cs="Proxima Nova" w:eastAsia="Proxima Nova" w:hAnsi="Proxima Nova"/>
          <w:sz w:val="8"/>
          <w:szCs w:val="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commentRangeStart w:id="8"/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Companies who avoided downrounds</w:t>
      </w:r>
      <w:commentRangeEnd w:id="8"/>
      <w:r w:rsidDel="00000000" w:rsidR="00000000" w:rsidRPr="00000000">
        <w:commentReference w:id="8"/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this quarter showed </w:t>
      </w:r>
      <w:r w:rsidDel="00000000" w:rsidR="00000000" w:rsidRPr="00000000">
        <w:rPr>
          <w:rFonts w:ascii="Proxima Nova" w:cs="Proxima Nova" w:eastAsia="Proxima Nova" w:hAnsi="Proxima Nova"/>
          <w:i w:val="1"/>
          <w:sz w:val="21"/>
          <w:szCs w:val="21"/>
          <w:highlight w:val="white"/>
          <w:rtl w:val="0"/>
        </w:rPr>
        <w:t xml:space="preserve">average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topline growth, but </w:t>
      </w:r>
      <w:r w:rsidDel="00000000" w:rsidR="00000000" w:rsidRPr="00000000">
        <w:rPr>
          <w:rFonts w:ascii="Proxima Nova" w:cs="Proxima Nova" w:eastAsia="Proxima Nova" w:hAnsi="Proxima Nova"/>
          <w:i w:val="1"/>
          <w:sz w:val="21"/>
          <w:szCs w:val="21"/>
          <w:highlight w:val="white"/>
          <w:rtl w:val="0"/>
        </w:rPr>
        <w:t xml:space="preserve">Gross Retention 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and </w:t>
      </w:r>
      <w:r w:rsidDel="00000000" w:rsidR="00000000" w:rsidRPr="00000000">
        <w:rPr>
          <w:rFonts w:ascii="Proxima Nova" w:cs="Proxima Nova" w:eastAsia="Proxima Nova" w:hAnsi="Proxima Nova"/>
          <w:i w:val="1"/>
          <w:sz w:val="21"/>
          <w:szCs w:val="21"/>
          <w:highlight w:val="white"/>
          <w:rtl w:val="0"/>
        </w:rPr>
        <w:t xml:space="preserve">NRR</w:t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 above peer benchmarks (89% and 107%). The main driver to our NRR is 90-day adoption &amp; user account, therefore, CS believes we need to begin:</w:t>
      </w:r>
    </w:p>
    <w:p w:rsidR="00000000" w:rsidDel="00000000" w:rsidP="00000000" w:rsidRDefault="00000000" w:rsidRPr="00000000" w14:paraId="00000011">
      <w:pPr>
        <w:rPr>
          <w:rFonts w:ascii="Proxima Nova" w:cs="Proxima Nova" w:eastAsia="Proxima Nova" w:hAnsi="Proxima Nova"/>
          <w:sz w:val="15"/>
          <w:szCs w:val="1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Scripting “userpaths” to accelerate the ‘aha’ moment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Granting free, read-only licenses to engage mgmt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Triggering in-app messages without CS time</w:t>
      </w:r>
    </w:p>
    <w:p w:rsidR="00000000" w:rsidDel="00000000" w:rsidP="00000000" w:rsidRDefault="00000000" w:rsidRPr="00000000" w14:paraId="00000015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If this is in place by Q2, we’ll accelerate renewals and contract expansion. </w:t>
      </w:r>
      <w:commentRangeStart w:id="9"/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If not, well, see above.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Proxima Nova" w:cs="Proxima Nova" w:eastAsia="Proxima Nova" w:hAnsi="Proxima Nova"/>
          <w:b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sz w:val="21"/>
          <w:szCs w:val="21"/>
          <w:highlight w:val="white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A preview of our </w:t>
      </w:r>
      <w:commentRangeStart w:id="10"/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highlight w:val="white"/>
          <w:rtl w:val="0"/>
        </w:rPr>
        <w:t xml:space="preserve">future investor deck:</w:t>
      </w:r>
      <w:commentRangeEnd w:id="10"/>
      <w:r w:rsidDel="00000000" w:rsidR="00000000" w:rsidRPr="00000000">
        <w:commentReference w:id="1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Proxima Nova" w:cs="Proxima Nova" w:eastAsia="Proxima Nova" w:hAnsi="Proxima Nova"/>
          <w:sz w:val="9"/>
          <w:szCs w:val="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5"/>
          <w:szCs w:val="15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Depending on the path we take, here are 3 scenarios for what shows up in our next investor deck:</w:t>
        <w:br w:type="textWrapping"/>
      </w: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Borders>
          <w:top w:color="9e9e9e" w:space="0" w:sz="8" w:val="single"/>
          <w:left w:color="9e9e9e" w:space="0" w:sz="8" w:val="single"/>
          <w:bottom w:color="9e9e9e" w:space="0" w:sz="8" w:val="single"/>
          <w:right w:color="9e9e9e" w:space="0" w:sz="8" w:val="single"/>
          <w:insideH w:color="9e9e9e" w:space="0" w:sz="8" w:val="single"/>
          <w:insideV w:color="9e9e9e" w:space="0" w:sz="8" w:val="single"/>
        </w:tblBorders>
        <w:tblLayout w:type="fixed"/>
        <w:tblLook w:val="0600"/>
      </w:tblPr>
      <w:tblGrid>
        <w:gridCol w:w="2370"/>
        <w:gridCol w:w="2235"/>
        <w:gridCol w:w="2220"/>
        <w:gridCol w:w="2265"/>
        <w:tblGridChange w:id="0">
          <w:tblGrid>
            <w:gridCol w:w="2370"/>
            <w:gridCol w:w="2235"/>
            <w:gridCol w:w="2220"/>
            <w:gridCol w:w="2265"/>
          </w:tblGrid>
        </w:tblGridChange>
      </w:tblGrid>
      <w:tr>
        <w:trPr>
          <w:cantSplit w:val="0"/>
          <w:trHeight w:val="432.9599999999999" w:hRule="atLeast"/>
          <w:tblHeader w:val="0"/>
        </w:trPr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Scenario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No Action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Base Case</w:t>
            </w:r>
          </w:p>
        </w:tc>
        <w:tc>
          <w:tcPr>
            <w:shd w:fill="d9d9d9" w:val="clear"/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b w:val="1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b w:val="1"/>
                <w:rtl w:val="0"/>
              </w:rPr>
              <w:t xml:space="preserve">Best Case</w:t>
            </w:r>
          </w:p>
        </w:tc>
      </w:tr>
      <w:tr>
        <w:trPr>
          <w:cantSplit w:val="0"/>
          <w:trHeight w:val="432.96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90-Day Adoption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10 Users, 50% Accts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15 Users, 70% Accts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25 Users, 85% Accts</w:t>
            </w:r>
          </w:p>
        </w:tc>
      </w:tr>
      <w:tr>
        <w:trPr>
          <w:cantSplit w:val="0"/>
          <w:trHeight w:val="373.0388515625016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Gross Retention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68% at Year 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83% at Year 1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89% at Year 1</w:t>
            </w:r>
          </w:p>
        </w:tc>
      </w:tr>
      <w:tr>
        <w:trPr>
          <w:cantSplit w:val="0"/>
          <w:trHeight w:val="297.96" w:hRule="atLeast"/>
          <w:tblHeader w:val="0"/>
        </w:trPr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Proxima Nova" w:cs="Proxima Nova" w:eastAsia="Proxima Nova" w:hAnsi="Proxima Nova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rtl w:val="0"/>
              </w:rPr>
              <w:t xml:space="preserve">Expansion Revenue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$12M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$19M</w:t>
            </w:r>
          </w:p>
        </w:tc>
        <w:tc>
          <w:tcPr>
            <w:tcMar>
              <w:top w:w="140.0" w:type="dxa"/>
              <w:left w:w="140.0" w:type="dxa"/>
              <w:bottom w:w="14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$23M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roxima Nova" w:cs="Proxima Nova" w:eastAsia="Proxima Nova" w:hAnsi="Proxima Nova"/>
          <w:sz w:val="21"/>
          <w:szCs w:val="21"/>
          <w:highlight w:val="whit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The main difference between the base &amp; best cases is the scope of our investment, which, in addition to an investment of $450,000 over </w:t>
      </w:r>
      <w:commentRangeStart w:id="11"/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2 years, depends on</w:t>
      </w:r>
      <w:commentRangeEnd w:id="11"/>
      <w:r w:rsidDel="00000000" w:rsidR="00000000" w:rsidRPr="00000000">
        <w:commentReference w:id="11"/>
      </w: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D">
      <w:pPr>
        <w:ind w:left="720" w:firstLine="0"/>
        <w:rPr>
          <w:rFonts w:ascii="Proxima Nova" w:cs="Proxima Nova" w:eastAsia="Proxima Nova" w:hAnsi="Proxima Nova"/>
          <w:sz w:val="13"/>
          <w:szCs w:val="1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Re-allocating 25 hours from product marketing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Spending 3 hour/CSM for training before rollout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Proxima Nova" w:cs="Proxima Nova" w:eastAsia="Proxima Nova" w:hAnsi="Proxima Nova"/>
          <w:sz w:val="21"/>
          <w:szCs w:val="21"/>
          <w:highlight w:val="white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1"/>
          <w:szCs w:val="21"/>
          <w:highlight w:val="white"/>
          <w:rtl w:val="0"/>
        </w:rPr>
        <w:t xml:space="preserve">Appointing 1 workstream lead for eng, product, CS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Nate Nasralla" w:id="9" w:date="2023-03-23T21:08:18Z"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the decision: which path will the buying team take, by what timing?</w:t>
      </w:r>
    </w:p>
  </w:comment>
  <w:comment w:author="Nate Nasralla" w:id="2" w:date="2023-03-23T21:02:55Z"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you use the "Lego Block" approach to building out each section, make sure each piece has your champion's own language and signoff. 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building this together. Their name goes on it. You're not the main author.</w:t>
      </w:r>
    </w:p>
  </w:comment>
  <w:comment w:author="Nate Nasralla" w:id="8" w:date="2023-03-23T21:09:13Z"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Lego Block: The Bridge. Create a logical connection between their problem and your product, based on a non-obvious insight and series of "beliefs" that walk someone up to your solution.</w:t>
      </w:r>
    </w:p>
  </w:comment>
  <w:comment w:author="Nate Nasralla" w:id="1" w:date="2023-03-23T21:11:52Z"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goal is to make this doc look and feel internal — it's intentionally stripped of the seller's branding. If it feels like a billboard with a bunch of marketing spin, your champion won't use it to guide their internal convo's.</w:t>
      </w:r>
    </w:p>
  </w:comment>
  <w:comment w:author="Nate Nasralla" w:id="7" w:date="2023-03-23T21:04:46Z"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deeper, moving from functional to strategic problems, using the phrase "which means" to get to the heart of the costs.</w:t>
      </w:r>
    </w:p>
  </w:comment>
  <w:comment w:author="Nate Nasralla" w:id="10" w:date="2023-03-23T21:10:18Z"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Lego Block #4: Scenarios.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framing ties back into the Situation above, and it maps to how executives think: in terms of tradeoffs and scenarios. Not a singular "ROI" figure.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Mirror the stats you used to quantify the problem, here.</w:t>
      </w:r>
    </w:p>
  </w:comment>
  <w:comment w:author="Nate Nasralla" w:id="6" w:date="2023-03-23T21:05:57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you've followed Chris' Discovery course, you should have all the inputs you need here — quantify pain with ruthless specificity.</w:t>
      </w:r>
    </w:p>
  </w:comment>
  <w:comment w:author="Nate Nasralla" w:id="5" w:date="2023-03-23T21:05:17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Lego Block #2: Problem Statements.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Insert visual language to paint a vivid picture of the problems you're calling out.</w:t>
      </w:r>
    </w:p>
  </w:comment>
  <w:comment w:author="Nate Nasralla" w:id="3" w:date="2023-03-23T21:06:35Z"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Here's your first Lego Block: The Situation. Create context that raises the stakes and sets the stages for the problem.</w:t>
      </w:r>
    </w:p>
  </w:comment>
  <w:comment w:author="Nate Nasralla" w:id="0" w:date="2023-03-23T21:02:08Z"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what you'll build last. An interesting and specific headline that's so tailor-made for an account, you can't recycle it on another account.</w:t>
      </w:r>
    </w:p>
  </w:comment>
  <w:comment w:author="Nate Nasralla" w:id="11" w:date="2023-03-23T21:11:00Z"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 the discussion on change management — your buyers are investing a whole lot more than just their budget. Show you know this, and have a plan to ensure it goes smoothly.</w:t>
      </w:r>
    </w:p>
  </w:comment>
  <w:comment w:author="Nate Nasralla" w:id="4" w:date="2023-03-23T21:03:45Z"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 internal "trigger phrases" to signal you're aligned with a priority the C-Suite is *already sold on*.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Montserra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pPr/>
      <w:rPr/>
      <w:tcPr/>
    </w:tblStylePr>
    <w:tblStylePr w:type="band1Vert">
      <w:pPr/>
      <w:rPr/>
      <w:tcPr/>
    </w:tblStylePr>
    <w:tblStylePr w:type="band2Horz">
      <w:pPr/>
      <w:rPr/>
      <w:tcPr/>
    </w:tblStylePr>
    <w:tblStylePr w:type="band2Vert">
      <w:pPr/>
      <w:rPr/>
      <w:tcPr/>
    </w:tblStylePr>
    <w:tblStylePr w:type="firstCol">
      <w:pPr/>
      <w:rPr/>
      <w:tcPr/>
    </w:tblStylePr>
    <w:tblStylePr w:type="firstRow">
      <w:pPr/>
      <w:rPr/>
      <w:tcPr/>
    </w:tblStylePr>
    <w:tblStylePr w:type="lastCol">
      <w:pPr/>
      <w:rPr/>
      <w:tcPr/>
    </w:tblStylePr>
    <w:tblStylePr w:type="lastRow">
      <w:pPr/>
      <w:rPr/>
      <w:tcPr/>
    </w:tblStylePr>
    <w:tblStylePr w:type="neCell">
      <w:pPr/>
      <w:rPr/>
      <w:tcPr/>
    </w:tblStylePr>
    <w:tblStylePr w:type="nwCell">
      <w:pPr/>
      <w:rPr/>
      <w:tcPr/>
    </w:tblStylePr>
    <w:tblStylePr w:type="seCell">
      <w:pPr/>
      <w:rPr/>
      <w:tcPr/>
    </w:tblStylePr>
    <w:tblStylePr w:type="swCell">
      <w:pPr/>
      <w:rPr/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Montserrat-italic.ttf"/><Relationship Id="rId10" Type="http://schemas.openxmlformats.org/officeDocument/2006/relationships/font" Target="fonts/Montserrat-bold.ttf"/><Relationship Id="rId12" Type="http://schemas.openxmlformats.org/officeDocument/2006/relationships/font" Target="fonts/Montserrat-boldItalic.ttf"/><Relationship Id="rId9" Type="http://schemas.openxmlformats.org/officeDocument/2006/relationships/font" Target="fonts/Montserrat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