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1"/>
          <w:szCs w:val="31"/>
          <w:highlight w:val="white"/>
          <w:rtl w:val="0"/>
        </w:rPr>
        <w:t xml:space="preserve">[Key Account Name] Meeting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Meeting Objectives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 need to enable [ next best buying behavior ] to keep our deal on track.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we see [ evidence ] by the end of the meeting, the conversation was successful.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We also need to ensure [ key contact ] feels [ emotion ] after, based on [ context ].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i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i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Customer’s 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i w:val="1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Proxima Nova" w:cs="Proxima Nova" w:eastAsia="Proxima Nova" w:hAnsi="Proxima Nova"/>
          <w:i w:val="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Despite trying [ failed solution ], the customer still can’t [ desired outcome ] because of [ problem ], which is costing them [ cost of problem 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Why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i w:val="1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Executive ] is pushing to reach [ strategic goal ], and sponsored a project labeled [ internal language ] to support this. Their goal is to reach [ project milestone ] by [ compelling event ].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Customer Impact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550"/>
        <w:gridCol w:w="2760"/>
        <w:tblGridChange w:id="0">
          <w:tblGrid>
            <w:gridCol w:w="2490"/>
            <w:gridCol w:w="2550"/>
            <w:gridCol w:w="27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Customer’s Metrics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Current Measure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Target by [ Date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Executive KPI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XX 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sz w:val="21"/>
                <w:szCs w:val="21"/>
                <w:highlight w:val="white"/>
                <w:rtl w:val="0"/>
              </w:rPr>
              <w:t xml:space="preserve">(+Y%)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sz w:val="19"/>
          <w:szCs w:val="1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Threats &amp; 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11"/>
          <w:szCs w:val="1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we lose this deal, and they don’t invest in [ our product ], it will be because: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Alternative #1 — buying [ Competitor X ], even though [ our advantage is…]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sz w:val="7"/>
          <w:szCs w:val="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Alternative #2 — CTO is exploring an in-house build project.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sz w:val="7"/>
          <w:szCs w:val="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e.g. Competing Priority — customer team may be re-focused on [ X 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6"/>
          <w:szCs w:val="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Meeting 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260"/>
        <w:gridCol w:w="2260"/>
        <w:tblGridChange w:id="0">
          <w:tblGrid>
            <w:gridCol w:w="2115"/>
            <w:gridCol w:w="7260"/>
            <w:gridCol w:w="22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Customer Contact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Key Objection: What do we need to address or resolve for them?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Name &amp;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sz w:val="10"/>
          <w:szCs w:val="1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Meeting Roles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385"/>
        <w:gridCol w:w="4965"/>
        <w:gridCol w:w="2260"/>
        <w:tblGridChange w:id="0">
          <w:tblGrid>
            <w:gridCol w:w="1980"/>
            <w:gridCol w:w="2385"/>
            <w:gridCol w:w="4965"/>
            <w:gridCol w:w="2260"/>
          </w:tblGrid>
        </w:tblGridChange>
      </w:tblGrid>
      <w:tr>
        <w:trPr>
          <w:cantSplit w:val="0"/>
          <w:trHeight w:val="405.78000000000003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Agenda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Owner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1"/>
                <w:szCs w:val="2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Intro +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Framing +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Sales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CRO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Next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Follow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1"/>
                <w:szCs w:val="21"/>
                <w:highlight w:val="white"/>
                <w:rtl w:val="0"/>
              </w:rPr>
              <w:t xml:space="preserve">AE + Champion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roxima Nova" w:cs="Proxima Nova" w:eastAsia="Proxima Nova" w:hAnsi="Proxima Nova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Account Map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—&gt; Insert a link to your full account map with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1"/>
            <w:szCs w:val="21"/>
            <w:highlight w:val="white"/>
            <w:u w:val="single"/>
            <w:rtl w:val="0"/>
          </w:rPr>
          <w:t xml:space="preserve">contact profiles + planned flow of communication</w:t>
        </w:r>
      </w:hyperlink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Montserrat" w:cs="Montserrat" w:eastAsia="Montserrat" w:hAnsi="Montserrat"/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Montserrat" w:cs="Montserrat" w:eastAsia="Montserrat" w:hAnsi="Montserrat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luint.io/post/how-to-map-b2b-decision-makers-enterprise-account-maps-that-actually-help-win-dea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