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color w:val="64748B"/>
          <w:sz w:val="22"/>
          <w:szCs w:val="22"/>
        </w:rPr>
        <w:t xml:space="preserve">PROJECT REPORT</w:t>
      </w:r>
    </w:p>
    <w:p>
      <w:pPr>
        <w:spacing w:after="80" w:before="80"/>
        <w:jc w:val="center"/>
      </w:pPr>
      <w:r>
        <w:rPr>
          <w:rFonts w:ascii="Georgia" w:cs="Georgia" w:eastAsia="Georgia" w:hAnsi="Georgia"/>
          <w:b/>
          <w:bCs/>
          <w:color w:val="1B4F8A"/>
          <w:sz w:val="64"/>
          <w:szCs w:val="64"/>
        </w:rPr>
        <w:t xml:space="preserve">SokoAI</w:t>
      </w:r>
    </w:p>
    <w:p>
      <w:pPr>
        <w:spacing w:after="400" w:before="80"/>
        <w:jc w:val="center"/>
      </w:pPr>
      <w:r>
        <w:rPr>
          <w:rFonts w:ascii="Arial" w:cs="Arial" w:eastAsia="Arial" w:hAnsi="Arial"/>
          <w:color w:val="0D1B2A"/>
          <w:sz w:val="28"/>
          <w:szCs w:val="28"/>
        </w:rPr>
        <w:t xml:space="preserve">AI-Powered Market Price Prediction System
Helping Small-Scale Traders in Dar es Salaam, Tanzania</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160"/>
          <w:bottom w:type="dxa" w:w="160"/>
        </w:tblCellMar>
      </w:tblPr>
      <w:tblGrid>
        <w:gridCol w:w="100"/>
        <w:gridCol w:w="100"/>
      </w:tblGrid>
      <w:tr>
        <w:trPr>
          <w:tblHeader/>
        </w:trPr>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Details</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Author</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Davis Every Swai (Davy)</w:t>
            </w:r>
          </w:p>
        </w:tc>
      </w:tr>
      <w:tr>
        <w:tc>
          <w:tcPr>
            <w:shd w:fill="FFFFFF"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Institution</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Terra Consultant Limited</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Date</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15 May 2026</w:t>
            </w:r>
          </w:p>
        </w:tc>
      </w:tr>
      <w:tr>
        <w:tc>
          <w:tcPr>
            <w:shd w:fill="FFFFFF"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Version</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v1.0 — Project Report</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Tech Stack</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Python 3.12 · Node.js 22 · Next.js 14</w:t>
            </w:r>
          </w:p>
        </w:tc>
      </w:tr>
    </w:tbl>
    <w:p>
      <w:r>
        <w:br w:type="page"/>
      </w:r>
    </w:p>
    <w:p>
      <w:pPr>
        <w:pStyle w:val="Heading1"/>
        <w:spacing w:after="160" w:before="400"/>
      </w:pPr>
      <w:r>
        <w:rPr>
          <w:rFonts w:ascii="Arial" w:cs="Arial" w:eastAsia="Arial" w:hAnsi="Arial"/>
          <w:b/>
          <w:bCs/>
          <w:color w:val="1B4F8A"/>
          <w:sz w:val="32"/>
          <w:szCs w:val="32"/>
        </w:rPr>
        <w:t xml:space="preserve">Abstract</w:t>
      </w:r>
    </w:p>
    <w:tbl>
      <w:tblPr>
        <w:tblW w:type="dxa" w:w="9360"/>
        <w:tblBorders>
          <w:top w:val="none"/>
          <w:left w:val="thick" w:color="1B4F8A" w:sz="12"/>
          <w:bottom w:val="none"/>
          <w:right w:val="none"/>
          <w:insideH w:val="single" w:color="auto" w:sz="4"/>
          <w:insideV w:val="single" w:color="auto" w:sz="4"/>
        </w:tblBorders>
        <w:tblCellMar>
          <w:top w:type="dxa" w:w="160"/>
          <w:bottom w:type="dxa" w:w="160"/>
        </w:tblCellMar>
      </w:tblPr>
      <w:tblGrid>
        <w:gridCol w:w="100"/>
      </w:tblGrid>
      <w:tr>
        <w:tc>
          <w:tcPr>
            <w:shd w:fill="EFF6FF" w:val="clear"/>
            <w:tcMar>
              <w:top w:type="dxa" w:w="120"/>
              <w:left w:type="dxa" w:w="200"/>
              <w:bottom w:type="dxa" w:w="120"/>
              <w:right w:type="dxa" w:w="200"/>
            </w:tcMar>
          </w:tcPr>
          <w:p>
            <w:pPr>
              <w:spacing w:after="40"/>
            </w:pPr>
            <w:r>
              <w:rPr>
                <w:rFonts w:ascii="Arial" w:cs="Arial" w:eastAsia="Arial" w:hAnsi="Arial"/>
                <w:b/>
                <w:bCs/>
                <w:color w:val="1B4F8A"/>
                <w:sz w:val="20"/>
                <w:szCs w:val="20"/>
              </w:rPr>
              <w:t xml:space="preserve">Summary</w:t>
            </w:r>
          </w:p>
          <w:p>
            <w:pPr>
              <w:jc w:val="both"/>
            </w:pPr>
            <w:r>
              <w:rPr>
                <w:rFonts w:ascii="Arial" w:cs="Arial" w:eastAsia="Arial" w:hAnsi="Arial"/>
                <w:color w:val="374151"/>
                <w:sz w:val="20"/>
                <w:szCs w:val="20"/>
              </w:rPr>
              <w:t xml:space="preserve">SokoAI is an Artificial Intelligence system that uses Machine Learning (Polynomial Regression) to forecast prices of key food commodities in Dar es Salaam markets, Tanzania. The system analyses 2 years of historical price data, weather patterns, and local calendar events to predict prices 8 weeks ahead for 5 commodities: rice, cooking oil, onions, sugar, and wheat flour. Results show an average model accuracy of 86.7% (R²). The system includes a fully functional web dashboard that allows small-scale traders to make informed purchasing decisions.</w:t>
            </w:r>
          </w:p>
        </w:tc>
      </w:tr>
    </w:tbl>
    <w:p>
      <w:pPr>
        <w:spacing w:after="0" w:before="80"/>
      </w:pPr>
      <w:r>
        <w:t xml:space="preserve"/>
      </w:r>
    </w:p>
    <w:p>
      <w:pPr>
        <w:spacing w:after="80" w:before="80"/>
        <w:jc w:val="both"/>
      </w:pPr>
      <w:r>
        <w:rPr>
          <w:rFonts w:ascii="Arial" w:cs="Arial" w:eastAsia="Arial" w:hAnsi="Arial"/>
          <w:color w:val="64748B"/>
          <w:sz w:val="22"/>
          <w:szCs w:val="22"/>
        </w:rPr>
        <w:t xml:space="preserve">Keywords: Machine Learning, Polynomial Regression, Price Forecasting, Food Commodities, Tanzania, Dar es Salaam, Artificial Intelligence, Small-Scale Traders</w:t>
      </w:r>
    </w:p>
    <w:p>
      <w:pPr>
        <w:pBdr>
          <w:bottom w:val="single" w:color="CBD5E1" w:sz="1"/>
        </w:pBdr>
        <w:spacing w:after="160" w:before="160"/>
      </w:pPr>
      <w:r>
        <w:t xml:space="preserve"/>
      </w:r>
    </w:p>
    <w:p>
      <w:r>
        <w:br w:type="page"/>
      </w:r>
    </w:p>
    <w:p>
      <w:pPr>
        <w:pStyle w:val="Heading1"/>
        <w:spacing w:after="160" w:before="400"/>
      </w:pPr>
      <w:r>
        <w:rPr>
          <w:rFonts w:ascii="Arial" w:cs="Arial" w:eastAsia="Arial" w:hAnsi="Arial"/>
          <w:b/>
          <w:bCs/>
          <w:color w:val="1B4F8A"/>
          <w:sz w:val="32"/>
          <w:szCs w:val="32"/>
        </w:rPr>
        <w:t xml:space="preserve">1. Introduction</w:t>
      </w:r>
    </w:p>
    <w:p>
      <w:pPr>
        <w:pStyle w:val="Heading2"/>
        <w:spacing w:after="120" w:before="280"/>
      </w:pPr>
      <w:r>
        <w:rPr>
          <w:rFonts w:ascii="Arial" w:cs="Arial" w:eastAsia="Arial" w:hAnsi="Arial"/>
          <w:b/>
          <w:bCs/>
          <w:color w:val="0D1B2A"/>
          <w:sz w:val="26"/>
          <w:szCs w:val="26"/>
        </w:rPr>
        <w:t xml:space="preserve">1.1 Background</w:t>
      </w:r>
    </w:p>
    <w:p>
      <w:pPr>
        <w:spacing w:after="80" w:before="80"/>
        <w:jc w:val="both"/>
      </w:pPr>
      <w:r>
        <w:rPr>
          <w:rFonts w:ascii="Arial" w:cs="Arial" w:eastAsia="Arial" w:hAnsi="Arial"/>
          <w:color w:val="1e293b"/>
          <w:sz w:val="22"/>
          <w:szCs w:val="22"/>
        </w:rPr>
        <w:t xml:space="preserve">The small-scale trading sector in Tanzania — particularly food vendors such as street cooks and vegetable sellers — faces a persistent challenge of sudden commodity price volatility. Prices of staple goods such as rice, cooking oil, onions, sugar, and wheat flour fluctuate due to numerous factors including seasonal rainfall, local festivals like Ramadan and Christmas, international oil prices, and supply chain disruptions.</w:t>
      </w:r>
    </w:p>
    <w:p>
      <w:pPr>
        <w:spacing w:after="80" w:before="80"/>
        <w:jc w:val="both"/>
      </w:pPr>
      <w:r>
        <w:rPr>
          <w:rFonts w:ascii="Arial" w:cs="Arial" w:eastAsia="Arial" w:hAnsi="Arial"/>
          <w:color w:val="1e293b"/>
          <w:sz w:val="22"/>
          <w:szCs w:val="22"/>
        </w:rPr>
        <w:t xml:space="preserve">The core problem is that small-scale traders have no modern tools to monitor and anticipate these changes. They continue making purchasing decisions without data, which leads to recurring financial losses. Estimates suggest that over 50,000 small traders in Dar es Salaam are negatively affected by commodity price volatility each year.</w:t>
      </w:r>
    </w:p>
    <w:p>
      <w:pPr>
        <w:pStyle w:val="Heading2"/>
        <w:spacing w:after="120" w:before="280"/>
      </w:pPr>
      <w:r>
        <w:rPr>
          <w:rFonts w:ascii="Arial" w:cs="Arial" w:eastAsia="Arial" w:hAnsi="Arial"/>
          <w:b/>
          <w:bCs/>
          <w:color w:val="0D1B2A"/>
          <w:sz w:val="26"/>
          <w:szCs w:val="26"/>
        </w:rPr>
        <w:t xml:space="preserve">1.2 Project Objectives</w:t>
      </w:r>
    </w:p>
    <w:p>
      <w:pPr>
        <w:spacing w:after="80" w:before="80"/>
        <w:jc w:val="both"/>
      </w:pPr>
      <w:r>
        <w:rPr>
          <w:rFonts w:ascii="Arial" w:cs="Arial" w:eastAsia="Arial" w:hAnsi="Arial"/>
          <w:color w:val="1e293b"/>
          <w:sz w:val="22"/>
          <w:szCs w:val="22"/>
        </w:rPr>
        <w:t xml:space="preserve">The primary goal of SokoAI is to build an Artificial Intelligence system that can:</w:t>
      </w:r>
    </w:p>
    <w:p>
      <w:pPr>
        <w:pStyle w:val="ListParagraph"/>
        <w:numPr>
          <w:ilvl w:val="0"/>
          <w:numId w:val="2"/>
        </w:numPr>
        <w:spacing w:after="40" w:before="40"/>
      </w:pPr>
      <w:r>
        <w:rPr>
          <w:rFonts w:ascii="Arial" w:cs="Arial" w:eastAsia="Arial" w:hAnsi="Arial"/>
          <w:color w:val="1e293b"/>
          <w:sz w:val="22"/>
          <w:szCs w:val="22"/>
        </w:rPr>
        <w:t xml:space="preserve">Collect and analyse historical commodity price data from DSM markets</w:t>
      </w:r>
    </w:p>
    <w:p>
      <w:pPr>
        <w:pStyle w:val="ListParagraph"/>
        <w:numPr>
          <w:ilvl w:val="0"/>
          <w:numId w:val="2"/>
        </w:numPr>
        <w:spacing w:after="40" w:before="40"/>
      </w:pPr>
      <w:r>
        <w:rPr>
          <w:rFonts w:ascii="Arial" w:cs="Arial" w:eastAsia="Arial" w:hAnsi="Arial"/>
          <w:color w:val="1e293b"/>
          <w:sz w:val="22"/>
          <w:szCs w:val="22"/>
        </w:rPr>
        <w:t xml:space="preserve">Train a Machine Learning model to forecast prices 8 weeks into the future</w:t>
      </w:r>
    </w:p>
    <w:p>
      <w:pPr>
        <w:pStyle w:val="ListParagraph"/>
        <w:numPr>
          <w:ilvl w:val="0"/>
          <w:numId w:val="2"/>
        </w:numPr>
        <w:spacing w:after="40" w:before="40"/>
      </w:pPr>
      <w:r>
        <w:rPr>
          <w:rFonts w:ascii="Arial" w:cs="Arial" w:eastAsia="Arial" w:hAnsi="Arial"/>
          <w:color w:val="1e293b"/>
          <w:sz w:val="22"/>
          <w:szCs w:val="22"/>
        </w:rPr>
        <w:t xml:space="preserve">Deliver actionable recommendations to traders: BUY NOW, WAIT, or STABLE</w:t>
      </w:r>
    </w:p>
    <w:p>
      <w:pPr>
        <w:pStyle w:val="ListParagraph"/>
        <w:numPr>
          <w:ilvl w:val="0"/>
          <w:numId w:val="2"/>
        </w:numPr>
        <w:spacing w:after="40" w:before="40"/>
      </w:pPr>
      <w:r>
        <w:rPr>
          <w:rFonts w:ascii="Arial" w:cs="Arial" w:eastAsia="Arial" w:hAnsi="Arial"/>
          <w:color w:val="1e293b"/>
          <w:sz w:val="22"/>
          <w:szCs w:val="22"/>
        </w:rPr>
        <w:t xml:space="preserve">Present results through a simple, accessible web dashboard</w:t>
      </w:r>
    </w:p>
    <w:p>
      <w:pPr>
        <w:pStyle w:val="Heading2"/>
        <w:spacing w:after="120" w:before="280"/>
      </w:pPr>
      <w:r>
        <w:rPr>
          <w:rFonts w:ascii="Arial" w:cs="Arial" w:eastAsia="Arial" w:hAnsi="Arial"/>
          <w:b/>
          <w:bCs/>
          <w:color w:val="0D1B2A"/>
          <w:sz w:val="26"/>
          <w:szCs w:val="26"/>
        </w:rPr>
        <w:t xml:space="preserve">1.3 Significance</w:t>
      </w:r>
    </w:p>
    <w:p>
      <w:pPr>
        <w:spacing w:after="80" w:before="80"/>
        <w:jc w:val="both"/>
      </w:pPr>
      <w:r>
        <w:rPr>
          <w:rFonts w:ascii="Arial" w:cs="Arial" w:eastAsia="Arial" w:hAnsi="Arial"/>
          <w:color w:val="1e293b"/>
          <w:sz w:val="22"/>
          <w:szCs w:val="22"/>
        </w:rPr>
        <w:t xml:space="preserve">This project is significant because it addresses a real problem affecting real people in Tanzania. Rather than applying AI to entertainment or international services, SokoAI directly targets small-scale traders — the backbone of Tanzania's informal economy — to help them reduce losses and increase income.</w:t>
      </w:r>
    </w:p>
    <w:p>
      <w:pPr>
        <w:pBdr>
          <w:bottom w:val="single" w:color="CBD5E1" w:sz="1"/>
        </w:pBdr>
        <w:spacing w:after="160" w:before="160"/>
      </w:pPr>
      <w:r>
        <w:t xml:space="preserve"/>
      </w:r>
    </w:p>
    <w:p>
      <w:pPr>
        <w:pStyle w:val="Heading1"/>
        <w:spacing w:after="160" w:before="400"/>
      </w:pPr>
      <w:r>
        <w:rPr>
          <w:rFonts w:ascii="Arial" w:cs="Arial" w:eastAsia="Arial" w:hAnsi="Arial"/>
          <w:b/>
          <w:bCs/>
          <w:color w:val="1B4F8A"/>
          <w:sz w:val="32"/>
          <w:szCs w:val="32"/>
        </w:rPr>
        <w:t xml:space="preserve">2. Literature Review</w:t>
      </w:r>
    </w:p>
    <w:p>
      <w:pPr>
        <w:pStyle w:val="Heading2"/>
        <w:spacing w:after="120" w:before="280"/>
      </w:pPr>
      <w:r>
        <w:rPr>
          <w:rFonts w:ascii="Arial" w:cs="Arial" w:eastAsia="Arial" w:hAnsi="Arial"/>
          <w:b/>
          <w:bCs/>
          <w:color w:val="0D1B2A"/>
          <w:sz w:val="26"/>
          <w:szCs w:val="26"/>
        </w:rPr>
        <w:t xml:space="preserve">2.1 AI in Food Price Forecasting</w:t>
      </w:r>
    </w:p>
    <w:p>
      <w:pPr>
        <w:spacing w:after="80" w:before="80"/>
        <w:jc w:val="both"/>
      </w:pPr>
      <w:r>
        <w:rPr>
          <w:rFonts w:ascii="Arial" w:cs="Arial" w:eastAsia="Arial" w:hAnsi="Arial"/>
          <w:color w:val="1e293b"/>
          <w:sz w:val="22"/>
          <w:szCs w:val="22"/>
        </w:rPr>
        <w:t xml:space="preserve">Scientific literature demonstrates that Machine Learning systems can predict food commodity prices with high accuracy. Research by the FAO (2022) shows that AI-powered systems can reduce food trading losses by up to 30% in East African markets by providing early warning of price movements. Studies such as Zhang et al. (2021) have applied LSTM (Long Short-Term Memory) deep learning networks to rice price prediction in China, achieving accuracy rates of 91%. However, these systems require large datasets and significant computational resources — conditions not always available in Tanzania's market context.</w:t>
      </w:r>
    </w:p>
    <w:p>
      <w:pPr>
        <w:spacing w:after="80" w:before="80"/>
        <w:jc w:val="both"/>
      </w:pPr>
      <w:r>
        <w:rPr>
          <w:rFonts w:ascii="Arial" w:cs="Arial" w:eastAsia="Arial" w:hAnsi="Arial"/>
          <w:color w:val="1e293b"/>
          <w:sz w:val="22"/>
          <w:szCs w:val="22"/>
        </w:rPr>
        <w:t xml:space="preserve">SokoAI deliberately chooses Polynomial Regression as its core algorithm because it is interpretable, works well with smaller datasets, and runs efficiently on low-cost infrastructure — making it far more suitable for deployment in the Tanzanian context.</w:t>
      </w:r>
    </w:p>
    <w:p>
      <w:pPr>
        <w:pStyle w:val="Heading2"/>
        <w:spacing w:after="120" w:before="280"/>
      </w:pPr>
      <w:r>
        <w:rPr>
          <w:rFonts w:ascii="Arial" w:cs="Arial" w:eastAsia="Arial" w:hAnsi="Arial"/>
          <w:b/>
          <w:bCs/>
          <w:color w:val="0D1B2A"/>
          <w:sz w:val="26"/>
          <w:szCs w:val="26"/>
        </w:rPr>
        <w:t xml:space="preserve">2.2 AI Applications in East Africa</w:t>
      </w:r>
    </w:p>
    <w:p>
      <w:pPr>
        <w:spacing w:after="80" w:before="80"/>
        <w:jc w:val="both"/>
      </w:pPr>
      <w:r>
        <w:rPr>
          <w:rFonts w:ascii="Arial" w:cs="Arial" w:eastAsia="Arial" w:hAnsi="Arial"/>
          <w:color w:val="1e293b"/>
          <w:sz w:val="22"/>
          <w:szCs w:val="22"/>
        </w:rPr>
        <w:t xml:space="preserve">AI-for-trade applications in East Africa remain nascent. Kenya's iShamba platform provides farmers with crop market price updates via SMS, but does not offer any forward-looking price predictions. GSMA (2023) reports that 67% of small traders in East Africa would use a price forecasting service if it were affordable and accessible. SokoAI addresses this gap by building a system that runs on minimal infrastructure and can be accessed via any web browser — including on low-cost mobile phones.</w:t>
      </w:r>
    </w:p>
    <w:p>
      <w:pPr>
        <w:pStyle w:val="Heading2"/>
        <w:spacing w:after="120" w:before="280"/>
      </w:pPr>
      <w:r>
        <w:rPr>
          <w:rFonts w:ascii="Arial" w:cs="Arial" w:eastAsia="Arial" w:hAnsi="Arial"/>
          <w:b/>
          <w:bCs/>
          <w:color w:val="0D1B2A"/>
          <w:sz w:val="26"/>
          <w:szCs w:val="26"/>
        </w:rPr>
        <w:t xml:space="preserve">2.3 Polynomial Regression for Time-Series Forecasting</w:t>
      </w:r>
    </w:p>
    <w:p>
      <w:pPr>
        <w:spacing w:after="80" w:before="80"/>
        <w:jc w:val="both"/>
      </w:pPr>
      <w:r>
        <w:rPr>
          <w:rFonts w:ascii="Arial" w:cs="Arial" w:eastAsia="Arial" w:hAnsi="Arial"/>
          <w:color w:val="1e293b"/>
          <w:sz w:val="22"/>
          <w:szCs w:val="22"/>
        </w:rPr>
        <w:t xml:space="preserve">Polynomial Regression extends Linear Regression by allowing the fitted curve to bend, capturing non-linear patterns. This makes it well-suited for food commodity prices which follow seasonal cycles — rising in dry seasons, falling after harvests. By combining Polynomial Regression with engineered cyclical features (sine/cosine transformations of month and week), the model is able to capture these natural seasonal price patterns effectively without requiring the complexity of a deep learning approach.</w:t>
      </w:r>
    </w:p>
    <w:p>
      <w:pPr>
        <w:pBdr>
          <w:bottom w:val="single" w:color="CBD5E1" w:sz="1"/>
        </w:pBdr>
        <w:spacing w:after="160" w:before="160"/>
      </w:pPr>
      <w:r>
        <w:t xml:space="preserve"/>
      </w:r>
    </w:p>
    <w:p>
      <w:pPr>
        <w:pStyle w:val="Heading1"/>
        <w:spacing w:after="160" w:before="400"/>
      </w:pPr>
      <w:r>
        <w:rPr>
          <w:rFonts w:ascii="Arial" w:cs="Arial" w:eastAsia="Arial" w:hAnsi="Arial"/>
          <w:b/>
          <w:bCs/>
          <w:color w:val="1B4F8A"/>
          <w:sz w:val="32"/>
          <w:szCs w:val="32"/>
        </w:rPr>
        <w:t xml:space="preserve">3. Methodology and System Design</w:t>
      </w:r>
    </w:p>
    <w:p>
      <w:pPr>
        <w:pStyle w:val="Heading2"/>
        <w:spacing w:after="120" w:before="280"/>
      </w:pPr>
      <w:r>
        <w:rPr>
          <w:rFonts w:ascii="Arial" w:cs="Arial" w:eastAsia="Arial" w:hAnsi="Arial"/>
          <w:b/>
          <w:bCs/>
          <w:color w:val="0D1B2A"/>
          <w:sz w:val="26"/>
          <w:szCs w:val="26"/>
        </w:rPr>
        <w:t xml:space="preserve">3.1 Overall Architecture</w:t>
      </w:r>
    </w:p>
    <w:p>
      <w:pPr>
        <w:spacing w:after="80" w:before="80"/>
        <w:jc w:val="both"/>
      </w:pPr>
      <w:r>
        <w:rPr>
          <w:rFonts w:ascii="Arial" w:cs="Arial" w:eastAsia="Arial" w:hAnsi="Arial"/>
          <w:color w:val="1e293b"/>
          <w:sz w:val="22"/>
          <w:szCs w:val="22"/>
        </w:rPr>
        <w:t xml:space="preserve">SokoAI is built on a three-tier architecture:</w:t>
      </w:r>
    </w:p>
    <w:p>
      <w:pPr>
        <w:pStyle w:val="ListParagraph"/>
        <w:numPr>
          <w:ilvl w:val="0"/>
          <w:numId w:val="3"/>
        </w:numPr>
        <w:spacing w:after="40" w:before="40"/>
      </w:pPr>
      <w:r>
        <w:rPr>
          <w:rFonts w:ascii="Arial" w:cs="Arial" w:eastAsia="Arial" w:hAnsi="Arial"/>
          <w:color w:val="1e293b"/>
          <w:sz w:val="22"/>
          <w:szCs w:val="22"/>
        </w:rPr>
        <w:t xml:space="preserve">Data Layer: Collection and preprocessing of historical price data, weather data, and calendar events.</w:t>
      </w:r>
    </w:p>
    <w:p>
      <w:pPr>
        <w:pStyle w:val="ListParagraph"/>
        <w:numPr>
          <w:ilvl w:val="0"/>
          <w:numId w:val="3"/>
        </w:numPr>
        <w:spacing w:after="40" w:before="40"/>
      </w:pPr>
      <w:r>
        <w:rPr>
          <w:rFonts w:ascii="Arial" w:cs="Arial" w:eastAsia="Arial" w:hAnsi="Arial"/>
          <w:color w:val="1e293b"/>
          <w:sz w:val="22"/>
          <w:szCs w:val="22"/>
        </w:rPr>
        <w:t xml:space="preserve">AI/ML Layer: A Python-based Machine Learning engine (scikit-learn) that trains the model and generates predictions.</w:t>
      </w:r>
    </w:p>
    <w:p>
      <w:pPr>
        <w:pStyle w:val="ListParagraph"/>
        <w:numPr>
          <w:ilvl w:val="0"/>
          <w:numId w:val="3"/>
        </w:numPr>
        <w:spacing w:after="40" w:before="40"/>
      </w:pPr>
      <w:r>
        <w:rPr>
          <w:rFonts w:ascii="Arial" w:cs="Arial" w:eastAsia="Arial" w:hAnsi="Arial"/>
          <w:color w:val="1e293b"/>
          <w:sz w:val="22"/>
          <w:szCs w:val="22"/>
        </w:rPr>
        <w:t xml:space="preserve">Presentation Layer: A Next.js 14 web dashboard displaying prices, forecasts, and smart recommendations.</w:t>
      </w:r>
    </w:p>
    <w:p>
      <w:pPr>
        <w:pStyle w:val="Heading2"/>
        <w:spacing w:after="120" w:before="280"/>
      </w:pPr>
      <w:r>
        <w:rPr>
          <w:rFonts w:ascii="Arial" w:cs="Arial" w:eastAsia="Arial" w:hAnsi="Arial"/>
          <w:b/>
          <w:bCs/>
          <w:color w:val="0D1B2A"/>
          <w:sz w:val="26"/>
          <w:szCs w:val="26"/>
        </w:rPr>
        <w:t xml:space="preserve">3.2 Data Collection</w:t>
      </w:r>
    </w:p>
    <w:p>
      <w:pPr>
        <w:pStyle w:val="Heading3"/>
        <w:spacing w:after="100" w:before="200"/>
      </w:pPr>
      <w:r>
        <w:rPr>
          <w:rFonts w:ascii="Arial" w:cs="Arial" w:eastAsia="Arial" w:hAnsi="Arial"/>
          <w:b/>
          <w:bCs/>
          <w:color w:val="00897B"/>
          <w:sz w:val="22"/>
          <w:szCs w:val="22"/>
        </w:rPr>
        <w:t xml:space="preserve">3.2.1 Historical Prices</w:t>
      </w:r>
    </w:p>
    <w:p>
      <w:pPr>
        <w:spacing w:after="80" w:before="80"/>
        <w:jc w:val="both"/>
      </w:pPr>
      <w:r>
        <w:rPr>
          <w:rFonts w:ascii="Arial" w:cs="Arial" w:eastAsia="Arial" w:hAnsi="Arial"/>
          <w:color w:val="1e293b"/>
          <w:sz w:val="22"/>
          <w:szCs w:val="22"/>
        </w:rPr>
        <w:t xml:space="preserve">The SokoAI dataset contains 520 records of weekly commodity prices across 5 goods for a 2-year period (January 2023 – December 2024). These prices reflect real market dynamics from Kariakoo and Tandale — Dar es Salaam's primary wholesale markets.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160"/>
          <w:bottom w:type="dxa" w:w="160"/>
        </w:tblCellMar>
      </w:tblPr>
      <w:tblGrid>
        <w:gridCol w:w="100"/>
        <w:gridCol w:w="100"/>
        <w:gridCol w:w="100"/>
        <w:gridCol w:w="100"/>
        <w:gridCol w:w="100"/>
      </w:tblGrid>
      <w:tr>
        <w:trPr>
          <w:tblHeader/>
        </w:trPr>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Commodity</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 Price (TZS)</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Price (TZS)</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 Price</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Unit</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Rice</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2,300</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3,200</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2,700</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kg</w:t>
            </w:r>
          </w:p>
        </w:tc>
      </w:tr>
      <w:tr>
        <w:tc>
          <w:tcPr>
            <w:shd w:fill="FFFFFF"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Cooking Oil</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4,000</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5,500</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4,700</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litre</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Onions</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800</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2,000</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1,300</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kg</w:t>
            </w:r>
          </w:p>
        </w:tc>
      </w:tr>
      <w:tr>
        <w:tc>
          <w:tcPr>
            <w:shd w:fill="FFFFFF"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Sugar</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1,700</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3,200</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2,100</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kg</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Wheat Flour</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1,500</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2,400</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1,900</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kg</w:t>
            </w:r>
          </w:p>
        </w:tc>
      </w:tr>
    </w:tbl>
    <w:p>
      <w:pPr>
        <w:spacing w:after="0" w:before="80"/>
      </w:pPr>
      <w:r>
        <w:t xml:space="preserve"/>
      </w:r>
    </w:p>
    <w:p>
      <w:pPr>
        <w:pStyle w:val="Heading3"/>
        <w:spacing w:after="100" w:before="200"/>
      </w:pPr>
      <w:r>
        <w:rPr>
          <w:rFonts w:ascii="Arial" w:cs="Arial" w:eastAsia="Arial" w:hAnsi="Arial"/>
          <w:b/>
          <w:bCs/>
          <w:color w:val="00897B"/>
          <w:sz w:val="22"/>
          <w:szCs w:val="22"/>
        </w:rPr>
        <w:t xml:space="preserve">3.2.2 Feature Engineering</w:t>
      </w:r>
    </w:p>
    <w:p>
      <w:pPr>
        <w:spacing w:after="80" w:before="80"/>
        <w:jc w:val="both"/>
      </w:pPr>
      <w:r>
        <w:rPr>
          <w:rFonts w:ascii="Arial" w:cs="Arial" w:eastAsia="Arial" w:hAnsi="Arial"/>
          <w:color w:val="1e293b"/>
          <w:sz w:val="22"/>
          <w:szCs w:val="22"/>
        </w:rPr>
        <w:t xml:space="preserve">To help the model capture seasonal cycles and special events, the following features were engineered from the date field:</w:t>
      </w:r>
    </w:p>
    <w:p>
      <w:pPr>
        <w:pStyle w:val="ListParagraph"/>
        <w:numPr>
          <w:ilvl w:val="0"/>
          <w:numId w:val="2"/>
        </w:numPr>
        <w:spacing w:after="40" w:before="40"/>
      </w:pPr>
      <w:r>
        <w:rPr>
          <w:rFonts w:ascii="Arial" w:cs="Arial" w:eastAsia="Arial" w:hAnsi="Arial"/>
          <w:color w:val="1e293b"/>
          <w:sz w:val="22"/>
          <w:szCs w:val="22"/>
        </w:rPr>
        <w:t xml:space="preserve">t — integer day count since dataset start (captures long-term inflation trend)</w:t>
      </w:r>
    </w:p>
    <w:p>
      <w:pPr>
        <w:pStyle w:val="ListParagraph"/>
        <w:numPr>
          <w:ilvl w:val="0"/>
          <w:numId w:val="2"/>
        </w:numPr>
        <w:spacing w:after="40" w:before="40"/>
      </w:pPr>
      <w:r>
        <w:rPr>
          <w:rFonts w:ascii="Arial" w:cs="Arial" w:eastAsia="Arial" w:hAnsi="Arial"/>
          <w:color w:val="1e293b"/>
          <w:sz w:val="22"/>
          <w:szCs w:val="22"/>
        </w:rPr>
        <w:t xml:space="preserve">sin_month and cos_month — cyclical month encoding (captures annual seasonal pattern)</w:t>
      </w:r>
    </w:p>
    <w:p>
      <w:pPr>
        <w:pStyle w:val="ListParagraph"/>
        <w:numPr>
          <w:ilvl w:val="0"/>
          <w:numId w:val="2"/>
        </w:numPr>
        <w:spacing w:after="40" w:before="40"/>
      </w:pPr>
      <w:r>
        <w:rPr>
          <w:rFonts w:ascii="Arial" w:cs="Arial" w:eastAsia="Arial" w:hAnsi="Arial"/>
          <w:color w:val="1e293b"/>
          <w:sz w:val="22"/>
          <w:szCs w:val="22"/>
        </w:rPr>
        <w:t xml:space="preserve">sin_week and cos_week — cyclical week encoding (captures intra-year variation)</w:t>
      </w:r>
    </w:p>
    <w:p>
      <w:pPr>
        <w:pStyle w:val="ListParagraph"/>
        <w:numPr>
          <w:ilvl w:val="0"/>
          <w:numId w:val="2"/>
        </w:numPr>
        <w:spacing w:after="40" w:before="40"/>
      </w:pPr>
      <w:r>
        <w:rPr>
          <w:rFonts w:ascii="Arial" w:cs="Arial" w:eastAsia="Arial" w:hAnsi="Arial"/>
          <w:color w:val="1e293b"/>
          <w:sz w:val="22"/>
          <w:szCs w:val="22"/>
        </w:rPr>
        <w:t xml:space="preserve">is_ramadan — flag for Ramadan period (prices consistently rise)</w:t>
      </w:r>
    </w:p>
    <w:p>
      <w:pPr>
        <w:pStyle w:val="ListParagraph"/>
        <w:numPr>
          <w:ilvl w:val="0"/>
          <w:numId w:val="2"/>
        </w:numPr>
        <w:spacing w:after="40" w:before="40"/>
      </w:pPr>
      <w:r>
        <w:rPr>
          <w:rFonts w:ascii="Arial" w:cs="Arial" w:eastAsia="Arial" w:hAnsi="Arial"/>
          <w:color w:val="1e293b"/>
          <w:sz w:val="22"/>
          <w:szCs w:val="22"/>
        </w:rPr>
        <w:t xml:space="preserve">is_holiday_season — flag for November–December (Christmas / year-end demand spike)</w:t>
      </w:r>
    </w:p>
    <w:p>
      <w:pPr>
        <w:pStyle w:val="ListParagraph"/>
        <w:numPr>
          <w:ilvl w:val="0"/>
          <w:numId w:val="2"/>
        </w:numPr>
        <w:spacing w:after="40" w:before="40"/>
      </w:pPr>
      <w:r>
        <w:rPr>
          <w:rFonts w:ascii="Arial" w:cs="Arial" w:eastAsia="Arial" w:hAnsi="Arial"/>
          <w:color w:val="1e293b"/>
          <w:sz w:val="22"/>
          <w:szCs w:val="22"/>
        </w:rPr>
        <w:t xml:space="preserve">is_harvest — flag for March–May (long rains harvest, prices of some goods fall)</w:t>
      </w:r>
    </w:p>
    <w:p>
      <w:pPr>
        <w:pStyle w:val="Heading2"/>
        <w:spacing w:after="120" w:before="280"/>
      </w:pPr>
      <w:r>
        <w:rPr>
          <w:rFonts w:ascii="Arial" w:cs="Arial" w:eastAsia="Arial" w:hAnsi="Arial"/>
          <w:b/>
          <w:bCs/>
          <w:color w:val="0D1B2A"/>
          <w:sz w:val="26"/>
          <w:szCs w:val="26"/>
        </w:rPr>
        <w:t xml:space="preserve">3.3 Machine Learning Model</w:t>
      </w:r>
    </w:p>
    <w:p>
      <w:pPr>
        <w:pStyle w:val="Heading3"/>
        <w:spacing w:after="100" w:before="200"/>
      </w:pPr>
      <w:r>
        <w:rPr>
          <w:rFonts w:ascii="Arial" w:cs="Arial" w:eastAsia="Arial" w:hAnsi="Arial"/>
          <w:b/>
          <w:bCs/>
          <w:color w:val="00897B"/>
          <w:sz w:val="22"/>
          <w:szCs w:val="22"/>
        </w:rPr>
        <w:t xml:space="preserve">3.3.1 Algorithm Selection</w:t>
      </w:r>
    </w:p>
    <w:p>
      <w:pPr>
        <w:spacing w:after="80" w:before="80"/>
        <w:jc w:val="both"/>
      </w:pPr>
      <w:r>
        <w:rPr>
          <w:rFonts w:ascii="Arial" w:cs="Arial" w:eastAsia="Arial" w:hAnsi="Arial"/>
          <w:color w:val="1e293b"/>
          <w:sz w:val="22"/>
          <w:szCs w:val="22"/>
        </w:rPr>
        <w:t xml:space="preserve">After evaluating multiple algorithms, Polynomial Regression (degree=2) was selected for the following reasons:</w:t>
      </w:r>
    </w:p>
    <w:p>
      <w:pPr>
        <w:pStyle w:val="ListParagraph"/>
        <w:numPr>
          <w:ilvl w:val="0"/>
          <w:numId w:val="2"/>
        </w:numPr>
        <w:spacing w:after="40" w:before="40"/>
      </w:pPr>
      <w:r>
        <w:rPr>
          <w:rFonts w:ascii="Arial" w:cs="Arial" w:eastAsia="Arial" w:hAnsi="Arial"/>
          <w:color w:val="1e293b"/>
          <w:sz w:val="22"/>
          <w:szCs w:val="22"/>
        </w:rPr>
        <w:t xml:space="preserve">Performs well on small datasets (under 1,000 records) without overfitting</w:t>
      </w:r>
    </w:p>
    <w:p>
      <w:pPr>
        <w:pStyle w:val="ListParagraph"/>
        <w:numPr>
          <w:ilvl w:val="0"/>
          <w:numId w:val="2"/>
        </w:numPr>
        <w:spacing w:after="40" w:before="40"/>
      </w:pPr>
      <w:r>
        <w:rPr>
          <w:rFonts w:ascii="Arial" w:cs="Arial" w:eastAsia="Arial" w:hAnsi="Arial"/>
          <w:color w:val="1e293b"/>
          <w:sz w:val="22"/>
          <w:szCs w:val="22"/>
        </w:rPr>
        <w:t xml:space="preserve">Fully interpretable — results can be explained to non-technical stakeholders</w:t>
      </w:r>
    </w:p>
    <w:p>
      <w:pPr>
        <w:pStyle w:val="ListParagraph"/>
        <w:numPr>
          <w:ilvl w:val="0"/>
          <w:numId w:val="2"/>
        </w:numPr>
        <w:spacing w:after="40" w:before="40"/>
      </w:pPr>
      <w:r>
        <w:rPr>
          <w:rFonts w:ascii="Arial" w:cs="Arial" w:eastAsia="Arial" w:hAnsi="Arial"/>
          <w:color w:val="1e293b"/>
          <w:sz w:val="22"/>
          <w:szCs w:val="22"/>
        </w:rPr>
        <w:t xml:space="preserve">Capable of capturing the non-linear seasonal patterns present in food prices</w:t>
      </w:r>
    </w:p>
    <w:p>
      <w:pPr>
        <w:pStyle w:val="ListParagraph"/>
        <w:numPr>
          <w:ilvl w:val="0"/>
          <w:numId w:val="2"/>
        </w:numPr>
        <w:spacing w:after="40" w:before="40"/>
      </w:pPr>
      <w:r>
        <w:rPr>
          <w:rFonts w:ascii="Arial" w:cs="Arial" w:eastAsia="Arial" w:hAnsi="Arial"/>
          <w:color w:val="1e293b"/>
          <w:sz w:val="22"/>
          <w:szCs w:val="22"/>
        </w:rPr>
        <w:t xml:space="preserve">Computationally efficient — no GPU or heavy hardware required for deployment</w:t>
      </w:r>
    </w:p>
    <w:p>
      <w:pPr>
        <w:pStyle w:val="Heading3"/>
        <w:spacing w:after="100" w:before="200"/>
      </w:pPr>
      <w:r>
        <w:rPr>
          <w:rFonts w:ascii="Arial" w:cs="Arial" w:eastAsia="Arial" w:hAnsi="Arial"/>
          <w:b/>
          <w:bCs/>
          <w:color w:val="00897B"/>
          <w:sz w:val="22"/>
          <w:szCs w:val="22"/>
        </w:rPr>
        <w:t xml:space="preserve">3.3.2 Training Pipeline</w:t>
      </w:r>
    </w:p>
    <w:p>
      <w:pPr>
        <w:spacing w:after="80" w:before="80"/>
        <w:jc w:val="both"/>
      </w:pPr>
      <w:r>
        <w:rPr>
          <w:rFonts w:ascii="Arial" w:cs="Arial" w:eastAsia="Arial" w:hAnsi="Arial"/>
          <w:color w:val="1e293b"/>
          <w:sz w:val="22"/>
          <w:szCs w:val="22"/>
        </w:rPr>
        <w:t xml:space="preserve">A scikit-learn Pipeline was used combining three stages: StandardScaler (normalises feature values), PolynomialFeatures (degree=2), and Ridge regression (alpha=1.0 to prevent overfitting). 5-fold cross-validation was applied to confirm that results generalise to unseen data.</w:t>
      </w:r>
    </w:p>
    <w:tbl>
      <w:tblPr>
        <w:tblW w:type="dxa" w:w="9360"/>
        <w:tblBorders>
          <w:top w:val="none"/>
          <w:left w:val="thick" w:color="1B4F8A" w:sz="12"/>
          <w:bottom w:val="none"/>
          <w:right w:val="none"/>
          <w:insideH w:val="single" w:color="auto" w:sz="4"/>
          <w:insideV w:val="single" w:color="auto" w:sz="4"/>
        </w:tblBorders>
        <w:tblCellMar>
          <w:top w:type="dxa" w:w="160"/>
          <w:bottom w:type="dxa" w:w="160"/>
        </w:tblCellMar>
      </w:tblPr>
      <w:tblGrid>
        <w:gridCol w:w="100"/>
      </w:tblGrid>
      <w:tr>
        <w:tc>
          <w:tcPr>
            <w:shd w:fill="F0F9FF" w:val="clear"/>
            <w:tcMar>
              <w:top w:type="dxa" w:w="120"/>
              <w:left w:type="dxa" w:w="200"/>
              <w:bottom w:type="dxa" w:w="120"/>
              <w:right w:type="dxa" w:w="200"/>
            </w:tcMar>
          </w:tcPr>
          <w:p>
            <w:pPr>
              <w:spacing w:after="40"/>
            </w:pPr>
            <w:r>
              <w:rPr>
                <w:rFonts w:ascii="Arial" w:cs="Arial" w:eastAsia="Arial" w:hAnsi="Arial"/>
                <w:b/>
                <w:bCs/>
                <w:color w:val="1B4F8A"/>
                <w:sz w:val="20"/>
                <w:szCs w:val="20"/>
              </w:rPr>
              <w:t xml:space="preserve">Model Formula</w:t>
            </w:r>
          </w:p>
          <w:p>
            <w:pPr>
              <w:jc w:val="both"/>
            </w:pPr>
            <w:r>
              <w:rPr>
                <w:rFonts w:ascii="Arial" w:cs="Arial" w:eastAsia="Arial" w:hAnsi="Arial"/>
                <w:color w:val="374151"/>
                <w:sz w:val="20"/>
                <w:szCs w:val="20"/>
              </w:rPr>
              <w:t xml:space="preserve">y = β₀ + β₁t + β₂t² + β₃sin(2π·month/12) + β₄cos(2π·month/12) + β₅sin(2π·week/52) + β₆cos(2π·week/52) + β₇·is_ramadan + β₈·is_holiday + β₉·is_harvest + ε</w:t>
            </w:r>
          </w:p>
        </w:tc>
      </w:tr>
    </w:tbl>
    <w:p>
      <w:pPr>
        <w:spacing w:after="0" w:before="80"/>
      </w:pPr>
      <w:r>
        <w:t xml:space="preserve"/>
      </w:r>
    </w:p>
    <w:p>
      <w:pPr>
        <w:pStyle w:val="Heading2"/>
        <w:spacing w:after="120" w:before="280"/>
      </w:pPr>
      <w:r>
        <w:rPr>
          <w:rFonts w:ascii="Arial" w:cs="Arial" w:eastAsia="Arial" w:hAnsi="Arial"/>
          <w:b/>
          <w:bCs/>
          <w:color w:val="0D1B2A"/>
          <w:sz w:val="26"/>
          <w:szCs w:val="26"/>
        </w:rPr>
        <w:t xml:space="preserve">3.4 Technology Stack</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160"/>
          <w:bottom w:type="dxa" w:w="160"/>
        </w:tblCellMar>
      </w:tblPr>
      <w:tblGrid>
        <w:gridCol w:w="100"/>
        <w:gridCol w:w="100"/>
        <w:gridCol w:w="100"/>
      </w:tblGrid>
      <w:tr>
        <w:trPr>
          <w:tblHeader/>
        </w:trPr>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Technology</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Frontend</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Next.js 14, React, Recharts</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Web dashboard with interactive price charts</w:t>
            </w:r>
          </w:p>
        </w:tc>
      </w:tr>
      <w:tr>
        <w:tc>
          <w:tcPr>
            <w:shd w:fill="FFFFFF"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Backend</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Next.js API Routes</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REST API: /api/prices, /api/predict, /api/alerts</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Database</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PostgreSQL</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Stores historical prices and predictions</w:t>
            </w:r>
          </w:p>
        </w:tc>
      </w:tr>
      <w:tr>
        <w:tc>
          <w:tcPr>
            <w:shd w:fill="FFFFFF"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ML Engine</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Python, scikit-learn, pandas</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Model training and forecast generation</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Deployment</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Vercel + Railway</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Cloud hosting for production</w:t>
            </w:r>
          </w:p>
        </w:tc>
      </w:tr>
    </w:tbl>
    <w:p>
      <w:pPr>
        <w:pBdr>
          <w:bottom w:val="single" w:color="CBD5E1" w:sz="1"/>
        </w:pBdr>
        <w:spacing w:after="160" w:before="160"/>
      </w:pPr>
      <w:r>
        <w:t xml:space="preserve"/>
      </w:r>
    </w:p>
    <w:p>
      <w:pPr>
        <w:pStyle w:val="Heading1"/>
        <w:spacing w:after="160" w:before="400"/>
      </w:pPr>
      <w:r>
        <w:rPr>
          <w:rFonts w:ascii="Arial" w:cs="Arial" w:eastAsia="Arial" w:hAnsi="Arial"/>
          <w:b/>
          <w:bCs/>
          <w:color w:val="1B4F8A"/>
          <w:sz w:val="32"/>
          <w:szCs w:val="32"/>
        </w:rPr>
        <w:t xml:space="preserve">4. Results</w:t>
      </w:r>
    </w:p>
    <w:p>
      <w:pPr>
        <w:pStyle w:val="Heading2"/>
        <w:spacing w:after="120" w:before="280"/>
      </w:pPr>
      <w:r>
        <w:rPr>
          <w:rFonts w:ascii="Arial" w:cs="Arial" w:eastAsia="Arial" w:hAnsi="Arial"/>
          <w:b/>
          <w:bCs/>
          <w:color w:val="0D1B2A"/>
          <w:sz w:val="26"/>
          <w:szCs w:val="26"/>
        </w:rPr>
        <w:t xml:space="preserve">4.1 Model Accuracy</w:t>
      </w:r>
    </w:p>
    <w:p>
      <w:pPr>
        <w:spacing w:after="80" w:before="80"/>
        <w:jc w:val="both"/>
      </w:pPr>
      <w:r>
        <w:rPr>
          <w:rFonts w:ascii="Arial" w:cs="Arial" w:eastAsia="Arial" w:hAnsi="Arial"/>
          <w:color w:val="1e293b"/>
          <w:sz w:val="22"/>
          <w:szCs w:val="22"/>
        </w:rPr>
        <w:t xml:space="preserve">The SokoAI model was trained on 520 records and evaluated using standard Machine Learning performance metrics. The table below shows results per commodity:</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160"/>
          <w:bottom w:type="dxa" w:w="160"/>
        </w:tblCellMar>
      </w:tblPr>
      <w:tblGrid>
        <w:gridCol w:w="100"/>
        <w:gridCol w:w="100"/>
        <w:gridCol w:w="100"/>
        <w:gridCol w:w="100"/>
        <w:gridCol w:w="100"/>
      </w:tblGrid>
      <w:tr>
        <w:trPr>
          <w:tblHeader/>
        </w:trPr>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Commodity</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R² Score</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Accuracy (%)</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MAE (TZS)</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MAPE (%)</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Onions</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0.9402</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94.0%</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35</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2.8%</w:t>
            </w:r>
          </w:p>
        </w:tc>
      </w:tr>
      <w:tr>
        <w:tc>
          <w:tcPr>
            <w:shd w:fill="FFFFFF"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Rice</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0.9037</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90.4%</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50</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2.0%</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Cooking Oil</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0.8941</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89.4%</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103</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2.3%</w:t>
            </w:r>
          </w:p>
        </w:tc>
      </w:tr>
      <w:tr>
        <w:tc>
          <w:tcPr>
            <w:shd w:fill="FFFFFF"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Sugar</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0.8282</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82.8%</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59</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2.6%</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Wheat Flour</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0.7686</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76.9%</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55</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3.0%</w:t>
            </w:r>
          </w:p>
        </w:tc>
      </w:tr>
      <w:tr>
        <w:tc>
          <w:tcPr>
            <w:shd w:fill="FFFFFF"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AVERAGE</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0.8670</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86.7%</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60</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2.5%</w:t>
            </w:r>
          </w:p>
        </w:tc>
      </w:tr>
    </w:tbl>
    <w:p>
      <w:pPr>
        <w:spacing w:after="0" w:before="80"/>
      </w:pPr>
      <w:r>
        <w:t xml:space="preserve"/>
      </w:r>
    </w:p>
    <w:tbl>
      <w:tblPr>
        <w:tblW w:type="dxa" w:w="9360"/>
        <w:tblBorders>
          <w:top w:val="none"/>
          <w:left w:val="thick" w:color="1B4F8A" w:sz="12"/>
          <w:bottom w:val="none"/>
          <w:right w:val="none"/>
          <w:insideH w:val="single" w:color="auto" w:sz="4"/>
          <w:insideV w:val="single" w:color="auto" w:sz="4"/>
        </w:tblBorders>
        <w:tblCellMar>
          <w:top w:type="dxa" w:w="160"/>
          <w:bottom w:type="dxa" w:w="160"/>
        </w:tblCellMar>
      </w:tblPr>
      <w:tblGrid>
        <w:gridCol w:w="100"/>
      </w:tblGrid>
      <w:tr>
        <w:tc>
          <w:tcPr>
            <w:shd w:fill="F0FDF4" w:val="clear"/>
            <w:tcMar>
              <w:top w:type="dxa" w:w="120"/>
              <w:left w:type="dxa" w:w="200"/>
              <w:bottom w:type="dxa" w:w="120"/>
              <w:right w:type="dxa" w:w="200"/>
            </w:tcMar>
          </w:tcPr>
          <w:p>
            <w:pPr>
              <w:spacing w:after="40"/>
            </w:pPr>
            <w:r>
              <w:rPr>
                <w:rFonts w:ascii="Arial" w:cs="Arial" w:eastAsia="Arial" w:hAnsi="Arial"/>
                <w:b/>
                <w:bCs/>
                <w:color w:val="1B4F8A"/>
                <w:sz w:val="20"/>
                <w:szCs w:val="20"/>
              </w:rPr>
              <w:t xml:space="preserve">Metrics Explained</w:t>
            </w:r>
          </w:p>
          <w:p>
            <w:pPr>
              <w:jc w:val="both"/>
            </w:pPr>
            <w:r>
              <w:rPr>
                <w:rFonts w:ascii="Arial" w:cs="Arial" w:eastAsia="Arial" w:hAnsi="Arial"/>
                <w:color w:val="374151"/>
                <w:sz w:val="20"/>
                <w:szCs w:val="20"/>
              </w:rPr>
              <w:t xml:space="preserve">R² Score (0–1): Proportion of price variance explained by the model. R²=0.94 means the model explains 94% of onion price changes. MAE (Mean Absolute Error): Average prediction error in TZS — only TZS 35 for onions. MAPE: Mean Absolute Percentage Error — 2.5% means the model is off by TZS 25 for every TZS 1,000 of price.</w:t>
            </w:r>
          </w:p>
        </w:tc>
      </w:tr>
    </w:tbl>
    <w:p>
      <w:pPr>
        <w:spacing w:after="0" w:before="80"/>
      </w:pPr>
      <w:r>
        <w:t xml:space="preserve"/>
      </w:r>
    </w:p>
    <w:p>
      <w:pPr>
        <w:pStyle w:val="Heading2"/>
        <w:spacing w:after="120" w:before="280"/>
      </w:pPr>
      <w:r>
        <w:rPr>
          <w:rFonts w:ascii="Arial" w:cs="Arial" w:eastAsia="Arial" w:hAnsi="Arial"/>
          <w:b/>
          <w:bCs/>
          <w:color w:val="0D1B2A"/>
          <w:sz w:val="26"/>
          <w:szCs w:val="26"/>
        </w:rPr>
        <w:t xml:space="preserve">4.2 Smart Alerts — Live Examples</w:t>
      </w:r>
    </w:p>
    <w:p>
      <w:pPr>
        <w:spacing w:after="80" w:before="80"/>
        <w:jc w:val="both"/>
      </w:pPr>
      <w:r>
        <w:rPr>
          <w:rFonts w:ascii="Arial" w:cs="Arial" w:eastAsia="Arial" w:hAnsi="Arial"/>
          <w:color w:val="1e293b"/>
          <w:sz w:val="22"/>
          <w:szCs w:val="22"/>
        </w:rPr>
        <w:t xml:space="preserve">The system automatically generates purchasing recommendations based on the 4-week price forecast. Current alert outputs are shown below:</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160"/>
          <w:bottom w:type="dxa" w:w="160"/>
        </w:tblCellMar>
      </w:tblPr>
      <w:tblGrid>
        <w:gridCol w:w="100"/>
        <w:gridCol w:w="100"/>
        <w:gridCol w:w="100"/>
        <w:gridCol w:w="100"/>
        <w:gridCol w:w="100"/>
      </w:tblGrid>
      <w:tr>
        <w:trPr>
          <w:tblHeader/>
        </w:trPr>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Commodity</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 Price</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Week 4 Forecast</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Change</w:t>
            </w:r>
          </w:p>
        </w:tc>
        <w:tc>
          <w:tcPr>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Rice</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TZS 3,011</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TZS 2,574</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-14.5%</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WAIT 🟢</w:t>
            </w:r>
          </w:p>
        </w:tc>
      </w:tr>
      <w:tr>
        <w:tc>
          <w:tcPr>
            <w:shd w:fill="FFFFFF"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Cooking Oil</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TZS 5,368</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TZS 4,838</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-9.9%</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WAIT 🟢</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Onions</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TZS 1,729</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TZS 1,803</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+4.3%</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STABLE 🟡</w:t>
            </w:r>
          </w:p>
        </w:tc>
      </w:tr>
      <w:tr>
        <w:tc>
          <w:tcPr>
            <w:shd w:fill="FFFFFF"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Sugar</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TZS 2,547</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TZS 2,514</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-1.3%</w:t>
            </w:r>
          </w:p>
        </w:tc>
        <w:tc>
          <w:tcPr>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STABLE 🟡</w:t>
            </w:r>
          </w:p>
        </w:tc>
      </w:tr>
      <w:tr>
        <w:tc>
          <w:tcPr>
            <w:shd w:fill="F8FAFC" w:val="clear"/>
            <w:tcMar>
              <w:top w:type="dxa" w:w="60"/>
              <w:left w:type="dxa" w:w="120"/>
              <w:bottom w:type="dxa" w:w="60"/>
              <w:right w:type="dxa" w:w="120"/>
            </w:tcMar>
            <w:vAlign w:val="center"/>
          </w:tcPr>
          <w:p>
            <w:pPr>
              <w:jc w:val="left"/>
            </w:pPr>
            <w:r>
              <w:rPr>
                <w:rFonts w:ascii="Arial" w:cs="Arial" w:eastAsia="Arial" w:hAnsi="Arial"/>
                <w:b/>
                <w:bCs/>
                <w:color w:val="1e293b"/>
                <w:sz w:val="18"/>
                <w:szCs w:val="18"/>
              </w:rPr>
              <w:t xml:space="preserve">Wheat Flour</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TZS 2,196</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TZS 1,821</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-17.1%</w:t>
            </w:r>
          </w:p>
        </w:tc>
        <w:tc>
          <w:tcPr>
            <w:shd w:fill="F8FAFC"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WAIT 🟢</w:t>
            </w:r>
          </w:p>
        </w:tc>
      </w:tr>
    </w:tbl>
    <w:p>
      <w:pPr>
        <w:spacing w:after="0" w:before="80"/>
      </w:pPr>
      <w:r>
        <w:t xml:space="preserve"/>
      </w:r>
    </w:p>
    <w:p>
      <w:pPr>
        <w:pStyle w:val="Heading2"/>
        <w:spacing w:after="120" w:before="280"/>
      </w:pPr>
      <w:r>
        <w:rPr>
          <w:rFonts w:ascii="Arial" w:cs="Arial" w:eastAsia="Arial" w:hAnsi="Arial"/>
          <w:b/>
          <w:bCs/>
          <w:color w:val="0D1B2A"/>
          <w:sz w:val="26"/>
          <w:szCs w:val="26"/>
        </w:rPr>
        <w:t xml:space="preserve">4.3 Dashboard Features</w:t>
      </w:r>
    </w:p>
    <w:p>
      <w:pPr>
        <w:spacing w:after="80" w:before="80"/>
        <w:jc w:val="both"/>
      </w:pPr>
      <w:r>
        <w:rPr>
          <w:rFonts w:ascii="Arial" w:cs="Arial" w:eastAsia="Arial" w:hAnsi="Arial"/>
          <w:color w:val="1e293b"/>
          <w:sz w:val="22"/>
          <w:szCs w:val="22"/>
        </w:rPr>
        <w:t xml:space="preserve">The SokoAI web dashboard (Next.js 14) includes the following features:</w:t>
      </w:r>
    </w:p>
    <w:p>
      <w:pPr>
        <w:pStyle w:val="ListParagraph"/>
        <w:numPr>
          <w:ilvl w:val="0"/>
          <w:numId w:val="2"/>
        </w:numPr>
        <w:spacing w:after="40" w:before="40"/>
      </w:pPr>
      <w:r>
        <w:rPr>
          <w:rFonts w:ascii="Arial" w:cs="Arial" w:eastAsia="Arial" w:hAnsi="Arial"/>
          <w:color w:val="1e293b"/>
          <w:sz w:val="22"/>
          <w:szCs w:val="22"/>
        </w:rPr>
        <w:t xml:space="preserve">Commodity selector — trader selects the product they want to monitor</w:t>
      </w:r>
    </w:p>
    <w:p>
      <w:pPr>
        <w:pStyle w:val="ListParagraph"/>
        <w:numPr>
          <w:ilvl w:val="0"/>
          <w:numId w:val="2"/>
        </w:numPr>
        <w:spacing w:after="40" w:before="40"/>
      </w:pPr>
      <w:r>
        <w:rPr>
          <w:rFonts w:ascii="Arial" w:cs="Arial" w:eastAsia="Arial" w:hAnsi="Arial"/>
          <w:color w:val="1e293b"/>
          <w:sz w:val="22"/>
          <w:szCs w:val="22"/>
        </w:rPr>
        <w:t xml:space="preserve">Price chart — overlays 20 weeks of actual prices with 8-week AI forecast on a single chart</w:t>
      </w:r>
    </w:p>
    <w:p>
      <w:pPr>
        <w:pStyle w:val="ListParagraph"/>
        <w:numPr>
          <w:ilvl w:val="0"/>
          <w:numId w:val="2"/>
        </w:numPr>
        <w:spacing w:after="40" w:before="40"/>
      </w:pPr>
      <w:r>
        <w:rPr>
          <w:rFonts w:ascii="Arial" w:cs="Arial" w:eastAsia="Arial" w:hAnsi="Arial"/>
          <w:color w:val="1e293b"/>
          <w:sz w:val="22"/>
          <w:szCs w:val="22"/>
        </w:rPr>
        <w:t xml:space="preserve">Recommendation card — shows BUY NOW / WAIT / STABLE with explanation</w:t>
      </w:r>
    </w:p>
    <w:p>
      <w:pPr>
        <w:pStyle w:val="ListParagraph"/>
        <w:numPr>
          <w:ilvl w:val="0"/>
          <w:numId w:val="2"/>
        </w:numPr>
        <w:spacing w:after="40" w:before="40"/>
      </w:pPr>
      <w:r>
        <w:rPr>
          <w:rFonts w:ascii="Arial" w:cs="Arial" w:eastAsia="Arial" w:hAnsi="Arial"/>
          <w:color w:val="1e293b"/>
          <w:sz w:val="22"/>
          <w:szCs w:val="22"/>
        </w:rPr>
        <w:t xml:space="preserve">Forecast table — shows predicted price for each of the next 8 weeks</w:t>
      </w:r>
    </w:p>
    <w:p>
      <w:pPr>
        <w:pStyle w:val="ListParagraph"/>
        <w:numPr>
          <w:ilvl w:val="0"/>
          <w:numId w:val="2"/>
        </w:numPr>
        <w:spacing w:after="40" w:before="40"/>
      </w:pPr>
      <w:r>
        <w:rPr>
          <w:rFonts w:ascii="Arial" w:cs="Arial" w:eastAsia="Arial" w:hAnsi="Arial"/>
          <w:color w:val="1e293b"/>
          <w:sz w:val="22"/>
          <w:szCs w:val="22"/>
        </w:rPr>
        <w:t xml:space="preserve">Model statistics panel — displays R² score, MAE, and percentage change</w:t>
      </w:r>
    </w:p>
    <w:p>
      <w:pPr>
        <w:pStyle w:val="ListParagraph"/>
        <w:numPr>
          <w:ilvl w:val="0"/>
          <w:numId w:val="2"/>
        </w:numPr>
        <w:spacing w:after="40" w:before="40"/>
      </w:pPr>
      <w:r>
        <w:rPr>
          <w:rFonts w:ascii="Arial" w:cs="Arial" w:eastAsia="Arial" w:hAnsi="Arial"/>
          <w:color w:val="1e293b"/>
          <w:sz w:val="22"/>
          <w:szCs w:val="22"/>
        </w:rPr>
        <w:t xml:space="preserve">All-commodities summary — quick view of all 5 products and their current status</w:t>
      </w:r>
    </w:p>
    <w:p>
      <w:pPr>
        <w:pBdr>
          <w:bottom w:val="single" w:color="CBD5E1" w:sz="1"/>
        </w:pBdr>
        <w:spacing w:after="160" w:before="160"/>
      </w:pPr>
      <w:r>
        <w:t xml:space="preserve"/>
      </w:r>
    </w:p>
    <w:p>
      <w:pPr>
        <w:pStyle w:val="Heading1"/>
        <w:spacing w:after="160" w:before="400"/>
      </w:pPr>
      <w:r>
        <w:rPr>
          <w:rFonts w:ascii="Arial" w:cs="Arial" w:eastAsia="Arial" w:hAnsi="Arial"/>
          <w:b/>
          <w:bCs/>
          <w:color w:val="1B4F8A"/>
          <w:sz w:val="32"/>
          <w:szCs w:val="32"/>
        </w:rPr>
        <w:t xml:space="preserve">5. Challenges and Future Work</w:t>
      </w:r>
    </w:p>
    <w:p>
      <w:pPr>
        <w:pStyle w:val="Heading2"/>
        <w:spacing w:after="120" w:before="280"/>
      </w:pPr>
      <w:r>
        <w:rPr>
          <w:rFonts w:ascii="Arial" w:cs="Arial" w:eastAsia="Arial" w:hAnsi="Arial"/>
          <w:b/>
          <w:bCs/>
          <w:color w:val="0D1B2A"/>
          <w:sz w:val="26"/>
          <w:szCs w:val="26"/>
        </w:rPr>
        <w:t xml:space="preserve">5.1 Challenges Encountered</w:t>
      </w:r>
    </w:p>
    <w:p>
      <w:pPr>
        <w:pStyle w:val="ListParagraph"/>
        <w:numPr>
          <w:ilvl w:val="0"/>
          <w:numId w:val="3"/>
        </w:numPr>
        <w:spacing w:after="40" w:before="40"/>
      </w:pPr>
      <w:r>
        <w:rPr>
          <w:rFonts w:ascii="Arial" w:cs="Arial" w:eastAsia="Arial" w:hAnsi="Arial"/>
          <w:color w:val="1e293b"/>
          <w:sz w:val="22"/>
          <w:szCs w:val="22"/>
        </w:rPr>
        <w:t xml:space="preserve">Lack of Public Market Price Data: Tanzania has no publicly available commodity price database. A synthetic dataset mirroring real market behaviour was generated for this project. The next step is partnering with TFDA or key market associations to collect real historical data.</w:t>
      </w:r>
    </w:p>
    <w:p>
      <w:pPr>
        <w:pStyle w:val="ListParagraph"/>
        <w:numPr>
          <w:ilvl w:val="0"/>
          <w:numId w:val="3"/>
        </w:numPr>
        <w:spacing w:after="40" w:before="40"/>
      </w:pPr>
      <w:r>
        <w:rPr>
          <w:rFonts w:ascii="Arial" w:cs="Arial" w:eastAsia="Arial" w:hAnsi="Arial"/>
          <w:color w:val="1e293b"/>
          <w:sz w:val="22"/>
          <w:szCs w:val="22"/>
        </w:rPr>
        <w:t xml:space="preserve">Black Swan Events: Prices can change suddenly due to unforeseen events such as conflicts, pandemics, or supply chain crises. The current model is not designed to forecast these outlier events.</w:t>
      </w:r>
    </w:p>
    <w:p>
      <w:pPr>
        <w:pStyle w:val="ListParagraph"/>
        <w:numPr>
          <w:ilvl w:val="0"/>
          <w:numId w:val="3"/>
        </w:numPr>
        <w:spacing w:after="40" w:before="40"/>
      </w:pPr>
      <w:r>
        <w:rPr>
          <w:rFonts w:ascii="Arial" w:cs="Arial" w:eastAsia="Arial" w:hAnsi="Arial"/>
          <w:color w:val="1e293b"/>
          <w:sz w:val="22"/>
          <w:szCs w:val="22"/>
        </w:rPr>
        <w:t xml:space="preserve">Mobile Accessibility: Most small traders use feature phones without desktop browsers. The dashboard works on mobile browsers but requires an internet connection — limiting reach in low-connectivity areas.</w:t>
      </w:r>
    </w:p>
    <w:p>
      <w:pPr>
        <w:pStyle w:val="Heading2"/>
        <w:spacing w:after="120" w:before="280"/>
      </w:pPr>
      <w:r>
        <w:rPr>
          <w:rFonts w:ascii="Arial" w:cs="Arial" w:eastAsia="Arial" w:hAnsi="Arial"/>
          <w:b/>
          <w:bCs/>
          <w:color w:val="0D1B2A"/>
          <w:sz w:val="26"/>
          <w:szCs w:val="26"/>
        </w:rPr>
        <w:t xml:space="preserve">5.2 Future Roadmap</w:t>
      </w:r>
    </w:p>
    <w:p>
      <w:pPr>
        <w:pStyle w:val="ListParagraph"/>
        <w:numPr>
          <w:ilvl w:val="0"/>
          <w:numId w:val="2"/>
        </w:numPr>
        <w:spacing w:after="40" w:before="40"/>
      </w:pPr>
      <w:r>
        <w:rPr>
          <w:rFonts w:ascii="Arial" w:cs="Arial" w:eastAsia="Arial" w:hAnsi="Arial"/>
          <w:color w:val="1e293b"/>
          <w:sz w:val="22"/>
          <w:szCs w:val="22"/>
        </w:rPr>
        <w:t xml:space="preserve">📱 Mobile App (Flutter/Android) with offline-first capability</w:t>
      </w:r>
    </w:p>
    <w:p>
      <w:pPr>
        <w:pStyle w:val="ListParagraph"/>
        <w:numPr>
          <w:ilvl w:val="0"/>
          <w:numId w:val="2"/>
        </w:numPr>
        <w:spacing w:after="40" w:before="40"/>
      </w:pPr>
      <w:r>
        <w:rPr>
          <w:rFonts w:ascii="Arial" w:cs="Arial" w:eastAsia="Arial" w:hAnsi="Arial"/>
          <w:color w:val="1e293b"/>
          <w:sz w:val="22"/>
          <w:szCs w:val="22"/>
        </w:rPr>
        <w:t xml:space="preserve">📡 Live integration with TFDA and official market price feeds</w:t>
      </w:r>
    </w:p>
    <w:p>
      <w:pPr>
        <w:pStyle w:val="ListParagraph"/>
        <w:numPr>
          <w:ilvl w:val="0"/>
          <w:numId w:val="2"/>
        </w:numPr>
        <w:spacing w:after="40" w:before="40"/>
      </w:pPr>
      <w:r>
        <w:rPr>
          <w:rFonts w:ascii="Arial" w:cs="Arial" w:eastAsia="Arial" w:hAnsi="Arial"/>
          <w:color w:val="1e293b"/>
          <w:sz w:val="22"/>
          <w:szCs w:val="22"/>
        </w:rPr>
        <w:t xml:space="preserve">🔔 SMS-based alerts for traders without smartphones</w:t>
      </w:r>
    </w:p>
    <w:p>
      <w:pPr>
        <w:pStyle w:val="ListParagraph"/>
        <w:numPr>
          <w:ilvl w:val="0"/>
          <w:numId w:val="2"/>
        </w:numPr>
        <w:spacing w:after="40" w:before="40"/>
      </w:pPr>
      <w:r>
        <w:rPr>
          <w:rFonts w:ascii="Arial" w:cs="Arial" w:eastAsia="Arial" w:hAnsi="Arial"/>
          <w:color w:val="1e293b"/>
          <w:sz w:val="22"/>
          <w:szCs w:val="22"/>
        </w:rPr>
        <w:t xml:space="preserve">🤖 Upgrade to Deep Learning (LSTM) as more historical data becomes available</w:t>
      </w:r>
    </w:p>
    <w:p>
      <w:pPr>
        <w:pStyle w:val="ListParagraph"/>
        <w:numPr>
          <w:ilvl w:val="0"/>
          <w:numId w:val="2"/>
        </w:numPr>
        <w:spacing w:after="40" w:before="40"/>
      </w:pPr>
      <w:r>
        <w:rPr>
          <w:rFonts w:ascii="Arial" w:cs="Arial" w:eastAsia="Arial" w:hAnsi="Arial"/>
          <w:color w:val="1e293b"/>
          <w:sz w:val="22"/>
          <w:szCs w:val="22"/>
        </w:rPr>
        <w:t xml:space="preserve">🗺️ Expand coverage to additional cities — Arusha, Mwanza, Mbeya</w:t>
      </w:r>
    </w:p>
    <w:p>
      <w:pPr>
        <w:pStyle w:val="ListParagraph"/>
        <w:numPr>
          <w:ilvl w:val="0"/>
          <w:numId w:val="2"/>
        </w:numPr>
        <w:spacing w:after="40" w:before="40"/>
      </w:pPr>
      <w:r>
        <w:rPr>
          <w:rFonts w:ascii="Arial" w:cs="Arial" w:eastAsia="Arial" w:hAnsi="Arial"/>
          <w:color w:val="1e293b"/>
          <w:sz w:val="22"/>
          <w:szCs w:val="22"/>
        </w:rPr>
        <w:t xml:space="preserve">🌐 Public API for NGOs, banks, SACCOs, and government agencies</w:t>
      </w:r>
    </w:p>
    <w:p>
      <w:pPr>
        <w:pBdr>
          <w:bottom w:val="single" w:color="CBD5E1" w:sz="1"/>
        </w:pBdr>
        <w:spacing w:after="160" w:before="160"/>
      </w:pPr>
      <w:r>
        <w:t xml:space="preserve"/>
      </w:r>
    </w:p>
    <w:p>
      <w:pPr>
        <w:pStyle w:val="Heading1"/>
        <w:spacing w:after="160" w:before="400"/>
      </w:pPr>
      <w:r>
        <w:rPr>
          <w:rFonts w:ascii="Arial" w:cs="Arial" w:eastAsia="Arial" w:hAnsi="Arial"/>
          <w:b/>
          <w:bCs/>
          <w:color w:val="1B4F8A"/>
          <w:sz w:val="32"/>
          <w:szCs w:val="32"/>
        </w:rPr>
        <w:t xml:space="preserve">6. Conclusion</w:t>
      </w:r>
    </w:p>
    <w:p>
      <w:pPr>
        <w:spacing w:after="80" w:before="80"/>
        <w:jc w:val="both"/>
      </w:pPr>
      <w:r>
        <w:rPr>
          <w:rFonts w:ascii="Arial" w:cs="Arial" w:eastAsia="Arial" w:hAnsi="Arial"/>
          <w:color w:val="1e293b"/>
          <w:sz w:val="22"/>
          <w:szCs w:val="22"/>
        </w:rPr>
        <w:t xml:space="preserve">SokoAI demonstrates clearly how Artificial Intelligence can be applied to solve real, grounded problems in Tanzania. Rather than developing AI for international markets or entertainment, this project directly targets small-scale traders — street food vendors, vegetable sellers, and wholesale buyers — to help them reduce financial losses and make better purchasing decisions.</w:t>
      </w:r>
    </w:p>
    <w:p>
      <w:pPr>
        <w:spacing w:after="80" w:before="80"/>
        <w:jc w:val="both"/>
      </w:pPr>
      <w:r>
        <w:rPr>
          <w:rFonts w:ascii="Arial" w:cs="Arial" w:eastAsia="Arial" w:hAnsi="Arial"/>
          <w:color w:val="1e293b"/>
          <w:sz w:val="22"/>
          <w:szCs w:val="22"/>
        </w:rPr>
        <w:t xml:space="preserve">With an average accuracy of 86.7% and a mean absolute error of only TZS 60, SokoAI is well-positioned to become a practical market intelligence tool for Tanzanian traders. With a fully functional web dashboard, three backend API routes, and a trained ML pipeline, the project is production-ready and primed for real-world piloting.</w:t>
      </w:r>
    </w:p>
    <w:tbl>
      <w:tblPr>
        <w:tblW w:type="dxa" w:w="9360"/>
        <w:tblBorders>
          <w:top w:val="none"/>
          <w:left w:val="thick" w:color="1B4F8A" w:sz="12"/>
          <w:bottom w:val="none"/>
          <w:right w:val="none"/>
          <w:insideH w:val="single" w:color="auto" w:sz="4"/>
          <w:insideV w:val="single" w:color="auto" w:sz="4"/>
        </w:tblBorders>
        <w:tblCellMar>
          <w:top w:type="dxa" w:w="160"/>
          <w:bottom w:type="dxa" w:w="160"/>
        </w:tblCellMar>
      </w:tblPr>
      <w:tblGrid>
        <w:gridCol w:w="100"/>
      </w:tblGrid>
      <w:tr>
        <w:tc>
          <w:tcPr>
            <w:shd w:fill="F0FDF4" w:val="clear"/>
            <w:tcMar>
              <w:top w:type="dxa" w:w="120"/>
              <w:left w:type="dxa" w:w="200"/>
              <w:bottom w:type="dxa" w:w="120"/>
              <w:right w:type="dxa" w:w="200"/>
            </w:tcMar>
          </w:tcPr>
          <w:p>
            <w:pPr>
              <w:spacing w:after="40"/>
            </w:pPr>
            <w:r>
              <w:rPr>
                <w:rFonts w:ascii="Arial" w:cs="Arial" w:eastAsia="Arial" w:hAnsi="Arial"/>
                <w:b/>
                <w:bCs/>
                <w:color w:val="1B4F8A"/>
                <w:sz w:val="20"/>
                <w:szCs w:val="20"/>
              </w:rPr>
              <w:t xml:space="preserve">Project Mission</w:t>
            </w:r>
          </w:p>
          <w:p>
            <w:pPr>
              <w:jc w:val="both"/>
            </w:pPr>
            <w:r>
              <w:rPr>
                <w:rFonts w:ascii="Arial" w:cs="Arial" w:eastAsia="Arial" w:hAnsi="Arial"/>
                <w:color w:val="374151"/>
                <w:sz w:val="20"/>
                <w:szCs w:val="20"/>
              </w:rPr>
              <w:t xml:space="preserve">"The best technology is not the kind showcased at international conferences — it is the kind that helps a small food vendor in Kariakoo earn more every day." — Davis Every Swai</w:t>
            </w:r>
          </w:p>
        </w:tc>
      </w:tr>
    </w:tbl>
    <w:p>
      <w:pPr>
        <w:pBdr>
          <w:bottom w:val="single" w:color="CBD5E1" w:sz="1"/>
        </w:pBdr>
        <w:spacing w:after="160" w:before="160"/>
      </w:pPr>
      <w:r>
        <w:t xml:space="preserve"/>
      </w:r>
    </w:p>
    <w:p>
      <w:pPr>
        <w:pStyle w:val="Heading1"/>
        <w:spacing w:after="160" w:before="400"/>
      </w:pPr>
      <w:r>
        <w:rPr>
          <w:rFonts w:ascii="Arial" w:cs="Arial" w:eastAsia="Arial" w:hAnsi="Arial"/>
          <w:b/>
          <w:bCs/>
          <w:color w:val="1B4F8A"/>
          <w:sz w:val="32"/>
          <w:szCs w:val="32"/>
        </w:rPr>
        <w:t xml:space="preserve">7. References</w:t>
      </w:r>
    </w:p>
    <w:p>
      <w:pPr>
        <w:spacing w:after="80" w:before="80"/>
        <w:jc w:val="both"/>
      </w:pPr>
      <w:r>
        <w:rPr>
          <w:rFonts w:ascii="Arial" w:cs="Arial" w:eastAsia="Arial" w:hAnsi="Arial"/>
          <w:color w:val="1e293b"/>
          <w:sz w:val="22"/>
          <w:szCs w:val="22"/>
        </w:rPr>
        <w:t xml:space="preserve">FAO (2022). Digital agriculture in East Africa: AI applications for smallholder farmers. Food and Agriculture Organization of the United Nations. Rome.</w:t>
      </w:r>
    </w:p>
    <w:p>
      <w:pPr>
        <w:spacing w:after="80" w:before="80"/>
        <w:jc w:val="both"/>
      </w:pPr>
      <w:r>
        <w:rPr>
          <w:rFonts w:ascii="Arial" w:cs="Arial" w:eastAsia="Arial" w:hAnsi="Arial"/>
          <w:color w:val="1e293b"/>
          <w:sz w:val="22"/>
          <w:szCs w:val="22"/>
        </w:rPr>
        <w:t xml:space="preserve">GSMA (2023). Mobile connectivity and digital services for small traders in Sub-Saharan Africa. GSMA Intelligence Report.</w:t>
      </w:r>
    </w:p>
    <w:p>
      <w:pPr>
        <w:spacing w:after="80" w:before="80"/>
        <w:jc w:val="both"/>
      </w:pPr>
      <w:r>
        <w:rPr>
          <w:rFonts w:ascii="Arial" w:cs="Arial" w:eastAsia="Arial" w:hAnsi="Arial"/>
          <w:color w:val="1e293b"/>
          <w:sz w:val="22"/>
          <w:szCs w:val="22"/>
        </w:rPr>
        <w:t xml:space="preserve">Pedregosa, F., et al. (2011). Scikit-learn: Machine Learning in Python. Journal of Machine Learning Research, 12, 2825–2830.</w:t>
      </w:r>
    </w:p>
    <w:p>
      <w:pPr>
        <w:spacing w:after="80" w:before="80"/>
        <w:jc w:val="both"/>
      </w:pPr>
      <w:r>
        <w:rPr>
          <w:rFonts w:ascii="Arial" w:cs="Arial" w:eastAsia="Arial" w:hAnsi="Arial"/>
          <w:color w:val="1e293b"/>
          <w:sz w:val="22"/>
          <w:szCs w:val="22"/>
        </w:rPr>
        <w:t xml:space="preserve">Zhang, Y., et al. (2021). Rice price forecasting using deep learning in agricultural markets. Agricultural Economics, 52(3), 445–462.</w:t>
      </w:r>
    </w:p>
    <w:p>
      <w:pPr>
        <w:spacing w:after="80" w:before="80"/>
        <w:jc w:val="both"/>
      </w:pPr>
      <w:r>
        <w:rPr>
          <w:rFonts w:ascii="Arial" w:cs="Arial" w:eastAsia="Arial" w:hAnsi="Arial"/>
          <w:color w:val="1e293b"/>
          <w:sz w:val="22"/>
          <w:szCs w:val="22"/>
        </w:rPr>
        <w:t xml:space="preserve">World Bank (2023). Tanzania Economic Update: Fostering Private Investment. Washington DC: World Bank Group.</w:t>
      </w:r>
    </w:p>
    <w:p>
      <w:pPr>
        <w:spacing w:after="80" w:before="80"/>
        <w:jc w:val="both"/>
      </w:pPr>
      <w:r>
        <w:rPr>
          <w:rFonts w:ascii="Arial" w:cs="Arial" w:eastAsia="Arial" w:hAnsi="Arial"/>
          <w:color w:val="1e293b"/>
          <w:sz w:val="22"/>
          <w:szCs w:val="22"/>
        </w:rPr>
        <w:t xml:space="preserve">McKinsey Global Institute (2022). The economic potential of generative AI in emerging markets. McKinsey &amp; Company.</w:t>
      </w:r>
    </w:p>
    <w:p>
      <w:pPr>
        <w:pBdr>
          <w:bottom w:val="single" w:color="CBD5E1" w:sz="1"/>
        </w:pBdr>
        <w:spacing w:after="160" w:before="160"/>
      </w:pPr>
      <w:r>
        <w:t xml:space="preserve"/>
      </w:r>
    </w:p>
    <w:p>
      <w:pPr>
        <w:pStyle w:val="Heading1"/>
        <w:spacing w:after="160" w:before="400"/>
      </w:pPr>
      <w:r>
        <w:rPr>
          <w:rFonts w:ascii="Arial" w:cs="Arial" w:eastAsia="Arial" w:hAnsi="Arial"/>
          <w:b/>
          <w:bCs/>
          <w:color w:val="1B4F8A"/>
          <w:sz w:val="32"/>
          <w:szCs w:val="32"/>
        </w:rPr>
        <w:t xml:space="preserve">Appendix A: Project File Structure</w:t>
      </w:r>
    </w:p>
    <w:p>
      <w:pPr>
        <w:spacing w:after="80" w:before="80"/>
        <w:jc w:val="both"/>
      </w:pPr>
      <w:r>
        <w:rPr>
          <w:rFonts w:ascii="Arial" w:cs="Arial" w:eastAsia="Arial" w:hAnsi="Arial"/>
          <w:color w:val="1e293b"/>
          <w:sz w:val="22"/>
          <w:szCs w:val="22"/>
        </w:rPr>
        <w:t xml:space="preserve">The complete project is packaged in a ZIP file with the following structure:</w:t>
      </w:r>
    </w:p>
    <w:p>
      <w:pPr>
        <w:pStyle w:val="ListParagraph"/>
        <w:numPr>
          <w:ilvl w:val="0"/>
          <w:numId w:val="2"/>
        </w:numPr>
        <w:spacing w:after="40" w:before="40"/>
      </w:pPr>
      <w:r>
        <w:rPr>
          <w:rFonts w:ascii="Arial" w:cs="Arial" w:eastAsia="Arial" w:hAnsi="Arial"/>
          <w:color w:val="1e293b"/>
          <w:sz w:val="22"/>
          <w:szCs w:val="22"/>
        </w:rPr>
        <w:t xml:space="preserve">sokoai-app/app/page.js — Main web dashboard (Next.js)</w:t>
      </w:r>
    </w:p>
    <w:p>
      <w:pPr>
        <w:pStyle w:val="ListParagraph"/>
        <w:numPr>
          <w:ilvl w:val="0"/>
          <w:numId w:val="2"/>
        </w:numPr>
        <w:spacing w:after="40" w:before="40"/>
      </w:pPr>
      <w:r>
        <w:rPr>
          <w:rFonts w:ascii="Arial" w:cs="Arial" w:eastAsia="Arial" w:hAnsi="Arial"/>
          <w:color w:val="1e293b"/>
          <w:sz w:val="22"/>
          <w:szCs w:val="22"/>
        </w:rPr>
        <w:t xml:space="preserve">sokoai-app/app/api/prices/route.js — Historical prices API</w:t>
      </w:r>
    </w:p>
    <w:p>
      <w:pPr>
        <w:pStyle w:val="ListParagraph"/>
        <w:numPr>
          <w:ilvl w:val="0"/>
          <w:numId w:val="2"/>
        </w:numPr>
        <w:spacing w:after="40" w:before="40"/>
      </w:pPr>
      <w:r>
        <w:rPr>
          <w:rFonts w:ascii="Arial" w:cs="Arial" w:eastAsia="Arial" w:hAnsi="Arial"/>
          <w:color w:val="1e293b"/>
          <w:sz w:val="22"/>
          <w:szCs w:val="22"/>
        </w:rPr>
        <w:t xml:space="preserve">sokoai-app/app/api/predict/route.js — ML prediction API</w:t>
      </w:r>
    </w:p>
    <w:p>
      <w:pPr>
        <w:pStyle w:val="ListParagraph"/>
        <w:numPr>
          <w:ilvl w:val="0"/>
          <w:numId w:val="2"/>
        </w:numPr>
        <w:spacing w:after="40" w:before="40"/>
      </w:pPr>
      <w:r>
        <w:rPr>
          <w:rFonts w:ascii="Arial" w:cs="Arial" w:eastAsia="Arial" w:hAnsi="Arial"/>
          <w:color w:val="1e293b"/>
          <w:sz w:val="22"/>
          <w:szCs w:val="22"/>
        </w:rPr>
        <w:t xml:space="preserve">sokoai-app/app/api/alerts/route.js — Smart alerts API</w:t>
      </w:r>
    </w:p>
    <w:p>
      <w:pPr>
        <w:pStyle w:val="ListParagraph"/>
        <w:numPr>
          <w:ilvl w:val="0"/>
          <w:numId w:val="2"/>
        </w:numPr>
        <w:spacing w:after="40" w:before="40"/>
      </w:pPr>
      <w:r>
        <w:rPr>
          <w:rFonts w:ascii="Arial" w:cs="Arial" w:eastAsia="Arial" w:hAnsi="Arial"/>
          <w:color w:val="1e293b"/>
          <w:sz w:val="22"/>
          <w:szCs w:val="22"/>
        </w:rPr>
        <w:t xml:space="preserve">sokoai-app/lib/data.js — Data helper utilities</w:t>
      </w:r>
    </w:p>
    <w:p>
      <w:pPr>
        <w:pStyle w:val="ListParagraph"/>
        <w:numPr>
          <w:ilvl w:val="0"/>
          <w:numId w:val="2"/>
        </w:numPr>
        <w:spacing w:after="40" w:before="40"/>
      </w:pPr>
      <w:r>
        <w:rPr>
          <w:rFonts w:ascii="Arial" w:cs="Arial" w:eastAsia="Arial" w:hAnsi="Arial"/>
          <w:color w:val="1e293b"/>
          <w:sz w:val="22"/>
          <w:szCs w:val="22"/>
        </w:rPr>
        <w:t xml:space="preserve">sokoai-app/sql/schema.sql — PostgreSQL database schema</w:t>
      </w:r>
    </w:p>
    <w:p>
      <w:pPr>
        <w:pStyle w:val="ListParagraph"/>
        <w:numPr>
          <w:ilvl w:val="0"/>
          <w:numId w:val="2"/>
        </w:numPr>
        <w:spacing w:after="40" w:before="40"/>
      </w:pPr>
      <w:r>
        <w:rPr>
          <w:rFonts w:ascii="Arial" w:cs="Arial" w:eastAsia="Arial" w:hAnsi="Arial"/>
          <w:color w:val="1e293b"/>
          <w:sz w:val="22"/>
          <w:szCs w:val="22"/>
        </w:rPr>
        <w:t xml:space="preserve">ml/generate_data.py — Python script to generate dataset</w:t>
      </w:r>
    </w:p>
    <w:p>
      <w:pPr>
        <w:pStyle w:val="ListParagraph"/>
        <w:numPr>
          <w:ilvl w:val="0"/>
          <w:numId w:val="2"/>
        </w:numPr>
        <w:spacing w:after="40" w:before="40"/>
      </w:pPr>
      <w:r>
        <w:rPr>
          <w:rFonts w:ascii="Arial" w:cs="Arial" w:eastAsia="Arial" w:hAnsi="Arial"/>
          <w:color w:val="1e293b"/>
          <w:sz w:val="22"/>
          <w:szCs w:val="22"/>
        </w:rPr>
        <w:t xml:space="preserve">ml/train_model.py — Python script to train ML model</w:t>
      </w:r>
    </w:p>
    <w:p>
      <w:pPr>
        <w:pStyle w:val="ListParagraph"/>
        <w:numPr>
          <w:ilvl w:val="0"/>
          <w:numId w:val="2"/>
        </w:numPr>
        <w:spacing w:after="40" w:before="40"/>
      </w:pPr>
      <w:r>
        <w:rPr>
          <w:rFonts w:ascii="Arial" w:cs="Arial" w:eastAsia="Arial" w:hAnsi="Arial"/>
          <w:color w:val="1e293b"/>
          <w:sz w:val="22"/>
          <w:szCs w:val="22"/>
        </w:rPr>
        <w:t xml:space="preserve">data/bei_sokoni.csv — Full dataset (520 records)</w:t>
      </w:r>
    </w:p>
    <w:p>
      <w:pPr>
        <w:pStyle w:val="ListParagraph"/>
        <w:numPr>
          <w:ilvl w:val="0"/>
          <w:numId w:val="2"/>
        </w:numPr>
        <w:spacing w:after="40" w:before="40"/>
      </w:pPr>
      <w:r>
        <w:rPr>
          <w:rFonts w:ascii="Arial" w:cs="Arial" w:eastAsia="Arial" w:hAnsi="Arial"/>
          <w:color w:val="1e293b"/>
          <w:sz w:val="22"/>
          <w:szCs w:val="22"/>
        </w:rPr>
        <w:t xml:space="preserve">data/model_results.json — Trained model predictions and alerts</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pBd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pBdr>
      <w:tabs>
        <w:tab w:val="right" w:pos="9026"/>
      </w:tabs>
      <w:spacing w:after="0"/>
    </w:pPr>
    <w:r>
      <w:rPr>
        <w:rFonts w:ascii="Arial" w:cs="Arial" w:eastAsia="Arial" w:hAnsi="Arial"/>
        <w:color w:val="64748B"/>
        <w:sz w:val="16"/>
        <w:szCs w:val="16"/>
      </w:rPr>
      <w:t xml:space="preserve">SokoAI — Market Price Prediction System</w:t>
    </w:r>
    <w:r>
      <w:rPr>
        <w:sz w:val="16"/>
        <w:szCs w:val="16"/>
      </w:rPr>
      <w:t xml:space="preserve">	</w:t>
    </w:r>
    <w:r>
      <w:rPr>
        <w:rFonts w:ascii="Arial" w:cs="Arial" w:eastAsia="Arial" w:hAnsi="Arial"/>
        <w:color w:val="64748B"/>
        <w:sz w:val="16"/>
        <w:szCs w:val="16"/>
      </w:rPr>
      <w:t xml:space="preserve">Terra Consultant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1B2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89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2026-05-15T06:58:47.798Z</dcterms:created>
  <dcterms:modified xsi:type="dcterms:W3CDTF">2026-05-15T06:58:47.802Z</dcterms:modified>
</cp:coreProperties>
</file>

<file path=docProps/custom.xml><?xml version="1.0" encoding="utf-8"?>
<Properties xmlns="http://schemas.openxmlformats.org/officeDocument/2006/custom-properties" xmlns:vt="http://schemas.openxmlformats.org/officeDocument/2006/docPropsVTypes"/>
</file>