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1BE" w:rsidRPr="00AE5B44" w:rsidRDefault="00205E6B" w:rsidP="00F201BE">
      <w:pPr>
        <w:pStyle w:val="Title"/>
        <w:jc w:val="center"/>
      </w:pPr>
      <w:proofErr w:type="spellStart"/>
      <w:r>
        <w:t>CartPol</w:t>
      </w:r>
      <w:proofErr w:type="spellEnd"/>
      <w:r>
        <w:t xml:space="preserve"> v0 (Reinforce – Policy Gradient)</w:t>
      </w:r>
    </w:p>
    <w:p w:rsidR="00F201BE" w:rsidRDefault="00F201BE" w:rsidP="00F201BE">
      <w:pPr>
        <w:pStyle w:val="Heading1"/>
      </w:pPr>
      <w:r>
        <w:t>Environment:</w:t>
      </w:r>
    </w:p>
    <w:p w:rsidR="00205E6B" w:rsidRDefault="00205E6B" w:rsidP="00205E6B">
      <w:pPr>
        <w:rPr>
          <w:lang w:eastAsia="en-IN"/>
        </w:rPr>
      </w:pPr>
      <w:r>
        <w:rPr>
          <w:lang w:eastAsia="en-IN"/>
        </w:rPr>
        <w:t xml:space="preserve">    This environment corresponds to the version of the cart-pole problem</w:t>
      </w:r>
      <w:r>
        <w:rPr>
          <w:lang w:eastAsia="en-IN"/>
        </w:rPr>
        <w:t xml:space="preserve"> </w:t>
      </w:r>
      <w:r>
        <w:rPr>
          <w:lang w:eastAsia="en-IN"/>
        </w:rPr>
        <w:t xml:space="preserve">described by </w:t>
      </w:r>
      <w:proofErr w:type="spellStart"/>
      <w:r>
        <w:rPr>
          <w:lang w:eastAsia="en-IN"/>
        </w:rPr>
        <w:t>Barto</w:t>
      </w:r>
      <w:proofErr w:type="spellEnd"/>
      <w:r>
        <w:rPr>
          <w:lang w:eastAsia="en-IN"/>
        </w:rPr>
        <w:t>, Sutton, and Anderson in ["</w:t>
      </w:r>
      <w:proofErr w:type="spellStart"/>
      <w:r>
        <w:rPr>
          <w:lang w:eastAsia="en-IN"/>
        </w:rPr>
        <w:t>Neuronlike</w:t>
      </w:r>
      <w:proofErr w:type="spellEnd"/>
      <w:r>
        <w:rPr>
          <w:lang w:eastAsia="en-IN"/>
        </w:rPr>
        <w:t xml:space="preserve"> Adaptive Elements That Can Solve Difficult Learning Control Problem"</w:t>
      </w:r>
      <w:proofErr w:type="gramStart"/>
      <w:r>
        <w:rPr>
          <w:lang w:eastAsia="en-IN"/>
        </w:rPr>
        <w:t>](</w:t>
      </w:r>
      <w:proofErr w:type="gramEnd"/>
      <w:r>
        <w:rPr>
          <w:lang w:eastAsia="en-IN"/>
        </w:rPr>
        <w:t xml:space="preserve"> </w:t>
      </w:r>
      <w:hyperlink r:id="rId6" w:history="1">
        <w:r w:rsidRPr="00651EFA">
          <w:rPr>
            <w:rStyle w:val="Hyperlink"/>
            <w:lang w:eastAsia="en-IN"/>
          </w:rPr>
          <w:t>https://ieeexplore.ieee.org/document/6313077</w:t>
        </w:r>
      </w:hyperlink>
      <w:r>
        <w:rPr>
          <w:lang w:eastAsia="en-IN"/>
        </w:rPr>
        <w:t xml:space="preserve"> </w:t>
      </w:r>
      <w:r>
        <w:rPr>
          <w:lang w:eastAsia="en-IN"/>
        </w:rPr>
        <w:t>).</w:t>
      </w:r>
    </w:p>
    <w:p w:rsidR="00DB4CC9" w:rsidRDefault="00205E6B" w:rsidP="00205E6B">
      <w:pPr>
        <w:rPr>
          <w:lang w:eastAsia="en-IN"/>
        </w:rPr>
      </w:pPr>
      <w:r>
        <w:rPr>
          <w:lang w:eastAsia="en-IN"/>
        </w:rPr>
        <w:t xml:space="preserve">    A pole is attached by an un-actuated joint to a cart, which moves along a</w:t>
      </w:r>
      <w:r>
        <w:rPr>
          <w:lang w:eastAsia="en-IN"/>
        </w:rPr>
        <w:t xml:space="preserve"> </w:t>
      </w:r>
      <w:r>
        <w:rPr>
          <w:lang w:eastAsia="en-IN"/>
        </w:rPr>
        <w:t>frictionless track. The pendulum starts upright, and the goal is to prevent</w:t>
      </w:r>
      <w:r>
        <w:rPr>
          <w:lang w:eastAsia="en-IN"/>
        </w:rPr>
        <w:t xml:space="preserve"> </w:t>
      </w:r>
      <w:r>
        <w:rPr>
          <w:lang w:eastAsia="en-IN"/>
        </w:rPr>
        <w:t>it from falling over by increasing a</w:t>
      </w:r>
      <w:r w:rsidR="00DB4CC9">
        <w:rPr>
          <w:lang w:eastAsia="en-IN"/>
        </w:rPr>
        <w:t>nd reducing the cart's velocity.</w:t>
      </w:r>
    </w:p>
    <w:p w:rsidR="00B911CB" w:rsidRDefault="00F201BE" w:rsidP="00205E6B">
      <w:pPr>
        <w:pStyle w:val="Heading1"/>
      </w:pPr>
      <w:r>
        <w:t>Source code for environment:</w:t>
      </w:r>
    </w:p>
    <w:p w:rsidR="00205E6B" w:rsidRDefault="00205E6B">
      <w:hyperlink r:id="rId7" w:history="1">
        <w:r w:rsidRPr="00651EFA">
          <w:rPr>
            <w:rStyle w:val="Hyperlink"/>
          </w:rPr>
          <w:t>https://github.com/openai/gym/blob/master/gym/envs/classic_control/cartpole.py</w:t>
        </w:r>
      </w:hyperlink>
    </w:p>
    <w:p w:rsidR="00A15484" w:rsidRDefault="00A15484">
      <w:r w:rsidRPr="00205E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IN"/>
        </w:rPr>
        <w:t>States</w:t>
      </w:r>
      <w:r w:rsidR="00205E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IN"/>
        </w:rPr>
        <w:t xml:space="preserve"> Space</w:t>
      </w:r>
      <w:r>
        <w:t>:</w:t>
      </w:r>
    </w:p>
    <w:p w:rsidR="00205E6B" w:rsidRDefault="00205E6B" w:rsidP="00205E6B">
      <w:r>
        <w:t xml:space="preserve">    The observation is a `</w:t>
      </w:r>
      <w:proofErr w:type="spellStart"/>
      <w:r>
        <w:t>ndarray</w:t>
      </w:r>
      <w:proofErr w:type="spellEnd"/>
      <w:r>
        <w:t xml:space="preserve">` with shape </w:t>
      </w:r>
      <w:proofErr w:type="gramStart"/>
      <w:r>
        <w:t>`(</w:t>
      </w:r>
      <w:proofErr w:type="gramEnd"/>
      <w:r>
        <w:t>4,)` where the elements correspond to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05E6B" w:rsidTr="00205E6B">
        <w:tc>
          <w:tcPr>
            <w:tcW w:w="2394" w:type="dxa"/>
          </w:tcPr>
          <w:p w:rsidR="00205E6B" w:rsidRDefault="00205E6B" w:rsidP="00205E6B">
            <w:proofErr w:type="spellStart"/>
            <w:r>
              <w:t>Num</w:t>
            </w:r>
            <w:proofErr w:type="spellEnd"/>
          </w:p>
        </w:tc>
        <w:tc>
          <w:tcPr>
            <w:tcW w:w="2394" w:type="dxa"/>
          </w:tcPr>
          <w:p w:rsidR="00205E6B" w:rsidRDefault="00205E6B" w:rsidP="00205E6B">
            <w:r>
              <w:t>Observation</w:t>
            </w:r>
          </w:p>
        </w:tc>
        <w:tc>
          <w:tcPr>
            <w:tcW w:w="2394" w:type="dxa"/>
          </w:tcPr>
          <w:p w:rsidR="00205E6B" w:rsidRDefault="00205E6B" w:rsidP="00205E6B">
            <w:r>
              <w:t>Min</w:t>
            </w:r>
          </w:p>
        </w:tc>
        <w:tc>
          <w:tcPr>
            <w:tcW w:w="2394" w:type="dxa"/>
          </w:tcPr>
          <w:p w:rsidR="00205E6B" w:rsidRDefault="00205E6B" w:rsidP="00205E6B">
            <w:r>
              <w:t>Max</w:t>
            </w:r>
          </w:p>
        </w:tc>
      </w:tr>
      <w:tr w:rsidR="00205E6B" w:rsidTr="00205E6B">
        <w:tc>
          <w:tcPr>
            <w:tcW w:w="2394" w:type="dxa"/>
          </w:tcPr>
          <w:p w:rsidR="00205E6B" w:rsidRDefault="00205E6B" w:rsidP="00205E6B">
            <w:r>
              <w:t>0</w:t>
            </w:r>
          </w:p>
        </w:tc>
        <w:tc>
          <w:tcPr>
            <w:tcW w:w="2394" w:type="dxa"/>
          </w:tcPr>
          <w:p w:rsidR="00205E6B" w:rsidRDefault="00205E6B" w:rsidP="00205E6B">
            <w:r>
              <w:t>Cart Position</w:t>
            </w:r>
          </w:p>
        </w:tc>
        <w:tc>
          <w:tcPr>
            <w:tcW w:w="2394" w:type="dxa"/>
          </w:tcPr>
          <w:p w:rsidR="00205E6B" w:rsidRDefault="00205E6B" w:rsidP="00205E6B">
            <w:r>
              <w:t>-4.8*</w:t>
            </w:r>
          </w:p>
        </w:tc>
        <w:tc>
          <w:tcPr>
            <w:tcW w:w="2394" w:type="dxa"/>
          </w:tcPr>
          <w:p w:rsidR="00205E6B" w:rsidRDefault="00205E6B" w:rsidP="00205E6B">
            <w:r>
              <w:t>4.8*</w:t>
            </w:r>
          </w:p>
        </w:tc>
      </w:tr>
      <w:tr w:rsidR="00205E6B" w:rsidTr="00205E6B">
        <w:tc>
          <w:tcPr>
            <w:tcW w:w="2394" w:type="dxa"/>
          </w:tcPr>
          <w:p w:rsidR="00205E6B" w:rsidRDefault="00205E6B" w:rsidP="00205E6B">
            <w:r>
              <w:t>1</w:t>
            </w:r>
          </w:p>
        </w:tc>
        <w:tc>
          <w:tcPr>
            <w:tcW w:w="2394" w:type="dxa"/>
          </w:tcPr>
          <w:p w:rsidR="00205E6B" w:rsidRDefault="00205E6B" w:rsidP="00205E6B">
            <w:r>
              <w:t>Cart Velocity</w:t>
            </w:r>
          </w:p>
        </w:tc>
        <w:tc>
          <w:tcPr>
            <w:tcW w:w="2394" w:type="dxa"/>
          </w:tcPr>
          <w:p w:rsidR="00205E6B" w:rsidRDefault="00205E6B" w:rsidP="00205E6B">
            <w:r>
              <w:t>-</w:t>
            </w:r>
            <w:proofErr w:type="spellStart"/>
            <w:r>
              <w:t>inf</w:t>
            </w:r>
            <w:proofErr w:type="spellEnd"/>
          </w:p>
        </w:tc>
        <w:tc>
          <w:tcPr>
            <w:tcW w:w="2394" w:type="dxa"/>
          </w:tcPr>
          <w:p w:rsidR="00205E6B" w:rsidRDefault="00205E6B" w:rsidP="00205E6B">
            <w:proofErr w:type="spellStart"/>
            <w:r>
              <w:t>Inf</w:t>
            </w:r>
            <w:proofErr w:type="spellEnd"/>
          </w:p>
        </w:tc>
      </w:tr>
      <w:tr w:rsidR="00205E6B" w:rsidTr="00205E6B">
        <w:tc>
          <w:tcPr>
            <w:tcW w:w="2394" w:type="dxa"/>
          </w:tcPr>
          <w:p w:rsidR="00205E6B" w:rsidRDefault="00205E6B" w:rsidP="00205E6B">
            <w:r>
              <w:t>2</w:t>
            </w:r>
          </w:p>
        </w:tc>
        <w:tc>
          <w:tcPr>
            <w:tcW w:w="2394" w:type="dxa"/>
          </w:tcPr>
          <w:p w:rsidR="00205E6B" w:rsidRDefault="00205E6B" w:rsidP="00205E6B">
            <w:r>
              <w:t>Po</w:t>
            </w:r>
            <w:r>
              <w:t>le Angle</w:t>
            </w:r>
            <w:r>
              <w:t xml:space="preserve">                </w:t>
            </w:r>
          </w:p>
        </w:tc>
        <w:tc>
          <w:tcPr>
            <w:tcW w:w="2394" w:type="dxa"/>
          </w:tcPr>
          <w:p w:rsidR="00205E6B" w:rsidRDefault="00205E6B" w:rsidP="00205E6B">
            <w:r>
              <w:t>~ -0.418 rad (-24°)**</w:t>
            </w:r>
          </w:p>
        </w:tc>
        <w:tc>
          <w:tcPr>
            <w:tcW w:w="2394" w:type="dxa"/>
          </w:tcPr>
          <w:p w:rsidR="00205E6B" w:rsidRDefault="00205E6B" w:rsidP="00205E6B">
            <w:r>
              <w:t>~ 0.418 rad (24°)**</w:t>
            </w:r>
          </w:p>
        </w:tc>
      </w:tr>
      <w:tr w:rsidR="00205E6B" w:rsidTr="00205E6B">
        <w:tc>
          <w:tcPr>
            <w:tcW w:w="2394" w:type="dxa"/>
          </w:tcPr>
          <w:p w:rsidR="00205E6B" w:rsidRDefault="00205E6B" w:rsidP="00205E6B">
            <w:r>
              <w:t>3</w:t>
            </w:r>
          </w:p>
        </w:tc>
        <w:tc>
          <w:tcPr>
            <w:tcW w:w="2394" w:type="dxa"/>
          </w:tcPr>
          <w:p w:rsidR="00205E6B" w:rsidRDefault="00205E6B" w:rsidP="00205E6B">
            <w:r>
              <w:t>Pole Angular Velocity</w:t>
            </w:r>
          </w:p>
        </w:tc>
        <w:tc>
          <w:tcPr>
            <w:tcW w:w="2394" w:type="dxa"/>
          </w:tcPr>
          <w:p w:rsidR="00205E6B" w:rsidRDefault="00205E6B" w:rsidP="00205E6B">
            <w:r>
              <w:t>-</w:t>
            </w:r>
            <w:proofErr w:type="spellStart"/>
            <w:r>
              <w:t>inf</w:t>
            </w:r>
            <w:proofErr w:type="spellEnd"/>
          </w:p>
        </w:tc>
        <w:tc>
          <w:tcPr>
            <w:tcW w:w="2394" w:type="dxa"/>
          </w:tcPr>
          <w:p w:rsidR="00205E6B" w:rsidRDefault="00205E6B" w:rsidP="00205E6B">
            <w:proofErr w:type="spellStart"/>
            <w:r>
              <w:t>inf</w:t>
            </w:r>
            <w:proofErr w:type="spellEnd"/>
          </w:p>
        </w:tc>
      </w:tr>
    </w:tbl>
    <w:p w:rsidR="00205E6B" w:rsidRDefault="00205E6B" w:rsidP="00205E6B">
      <w:r>
        <w:t>Note:</w:t>
      </w:r>
      <w:r>
        <w:t xml:space="preserve"> </w:t>
      </w:r>
    </w:p>
    <w:p w:rsidR="00205E6B" w:rsidRDefault="00205E6B" w:rsidP="00205E6B">
      <w:r>
        <w:t>The table</w:t>
      </w:r>
      <w:r>
        <w:t xml:space="preserve"> denotes the ranges of possible observations for each element, but in two cases this range exceeds the</w:t>
      </w:r>
      <w:r>
        <w:t xml:space="preserve"> </w:t>
      </w:r>
      <w:r>
        <w:t>range of possible values in an un-terminated episode:</w:t>
      </w:r>
    </w:p>
    <w:p w:rsidR="00205E6B" w:rsidRDefault="00205E6B" w:rsidP="00205E6B">
      <w:r>
        <w:t xml:space="preserve"> *</w:t>
      </w:r>
      <w:r>
        <w:t>: the cart x-po</w:t>
      </w:r>
      <w:r>
        <w:t>sition can be observed between (-4.8, 4.8)</w:t>
      </w:r>
      <w:r>
        <w:t>, but an episode terminates if the cart leaves the</w:t>
      </w:r>
      <w:r>
        <w:t xml:space="preserve"> (-2.4, 2.4) range.</w:t>
      </w:r>
    </w:p>
    <w:p w:rsidR="00205E6B" w:rsidRDefault="00205E6B" w:rsidP="00205E6B">
      <w:r>
        <w:t>**</w:t>
      </w:r>
      <w:r>
        <w:t xml:space="preserve">: Similarly, the pole angle can be observed </w:t>
      </w:r>
      <w:r>
        <w:t>between (-.418, .418) radians or precisely ±24°</w:t>
      </w:r>
      <w:r>
        <w:t>, but an episode is</w:t>
      </w:r>
      <w:r>
        <w:t xml:space="preserve"> </w:t>
      </w:r>
      <w:r>
        <w:t>terminated if</w:t>
      </w:r>
      <w:r>
        <w:t xml:space="preserve"> the pole angle is outside the (-.2095, .2095) range or precisely ±12°</w:t>
      </w:r>
    </w:p>
    <w:p w:rsidR="00205E6B" w:rsidRDefault="00205E6B" w:rsidP="00205E6B">
      <w:pPr>
        <w:rPr>
          <w:u w:val="single"/>
        </w:rPr>
      </w:pPr>
      <w:r>
        <w:rPr>
          <w:u w:val="single"/>
        </w:rPr>
        <w:t>Starting State</w:t>
      </w:r>
    </w:p>
    <w:p w:rsidR="00205E6B" w:rsidRPr="00205E6B" w:rsidRDefault="00205E6B" w:rsidP="00205E6B">
      <w:pPr>
        <w:rPr>
          <w:u w:val="single"/>
        </w:rPr>
      </w:pPr>
      <w:r>
        <w:t>All observations are assigned a uniform random value between (-0.05, 0.05)</w:t>
      </w:r>
    </w:p>
    <w:p w:rsidR="00205E6B" w:rsidRDefault="00205E6B" w:rsidP="00205E6B">
      <w:pPr>
        <w:rPr>
          <w:u w:val="single"/>
        </w:rPr>
      </w:pPr>
      <w:r w:rsidRPr="00205E6B">
        <w:rPr>
          <w:u w:val="single"/>
        </w:rPr>
        <w:t>Episode Termination</w:t>
      </w:r>
    </w:p>
    <w:p w:rsidR="00205E6B" w:rsidRPr="00205E6B" w:rsidRDefault="00205E6B" w:rsidP="00205E6B">
      <w:pPr>
        <w:rPr>
          <w:u w:val="single"/>
        </w:rPr>
      </w:pPr>
      <w:r>
        <w:t>The episode terminates of one of the following occurs:</w:t>
      </w:r>
    </w:p>
    <w:p w:rsidR="00205E6B" w:rsidRDefault="00205E6B" w:rsidP="00205E6B"/>
    <w:p w:rsidR="00205E6B" w:rsidRDefault="00205E6B" w:rsidP="00205E6B">
      <w:r>
        <w:lastRenderedPageBreak/>
        <w:t xml:space="preserve">    1. Pole Angle is more than ±12°</w:t>
      </w:r>
    </w:p>
    <w:p w:rsidR="00205E6B" w:rsidRDefault="00205E6B" w:rsidP="00205E6B">
      <w:r>
        <w:t xml:space="preserve">    2. Cart Position is more than ±2.4 (</w:t>
      </w:r>
      <w:proofErr w:type="spellStart"/>
      <w:r>
        <w:t>center</w:t>
      </w:r>
      <w:proofErr w:type="spellEnd"/>
      <w:r>
        <w:t xml:space="preserve"> of the cart reaches the edge of the display)</w:t>
      </w:r>
    </w:p>
    <w:p w:rsidR="00205E6B" w:rsidRDefault="00205E6B" w:rsidP="00205E6B">
      <w:r>
        <w:t xml:space="preserve">    3. Episode length is greater than 500 (200 for v0)</w:t>
      </w:r>
    </w:p>
    <w:p w:rsidR="00205E6B" w:rsidRDefault="00205E6B" w:rsidP="00205E6B"/>
    <w:p w:rsidR="00205E6B" w:rsidRDefault="00205E6B" w:rsidP="00205E6B"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IN"/>
        </w:rPr>
        <w:t>Rewards</w:t>
      </w:r>
      <w:r>
        <w:t>:</w:t>
      </w:r>
    </w:p>
    <w:p w:rsidR="00205E6B" w:rsidRDefault="00205E6B" w:rsidP="00205E6B">
      <w:r>
        <w:t xml:space="preserve">    Reward is 1 for every step taken, including the termination step. The threshold is 475 for v1.</w:t>
      </w:r>
    </w:p>
    <w:p w:rsidR="00205E6B" w:rsidRDefault="00205E6B" w:rsidP="00205E6B"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IN"/>
        </w:rPr>
        <w:t>Action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IN"/>
        </w:rPr>
        <w:t xml:space="preserve"> Space</w:t>
      </w:r>
      <w:r>
        <w:t>:</w:t>
      </w:r>
    </w:p>
    <w:p w:rsidR="00DB4CC9" w:rsidRDefault="00DB4CC9" w:rsidP="00DB4CC9">
      <w:r>
        <w:t xml:space="preserve">    The agent</w:t>
      </w:r>
      <w:r>
        <w:t xml:space="preserve"> </w:t>
      </w:r>
      <w:r>
        <w:t xml:space="preserve"> </w:t>
      </w:r>
      <w:bookmarkStart w:id="0" w:name="_GoBack"/>
      <w:bookmarkEnd w:id="0"/>
      <w:r>
        <w:t>take</w:t>
      </w:r>
      <w:r>
        <w:t>s</w:t>
      </w:r>
      <w:r>
        <w:t xml:space="preserve"> a 1-element vector for actions.</w:t>
      </w:r>
      <w:r>
        <w:t xml:space="preserve"> The action space is (action) in [0, 1]</w:t>
      </w:r>
      <w:r>
        <w:t>, where `action` is used to push</w:t>
      </w:r>
      <w:r>
        <w:t xml:space="preserve"> </w:t>
      </w:r>
      <w:r>
        <w:t>the car</w:t>
      </w:r>
      <w:r>
        <w:t>t with a fixed amount of force: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B4CC9" w:rsidTr="00DB4CC9">
        <w:tc>
          <w:tcPr>
            <w:tcW w:w="4788" w:type="dxa"/>
          </w:tcPr>
          <w:p w:rsidR="00DB4CC9" w:rsidRDefault="00DB4CC9" w:rsidP="00DB4CC9">
            <w:proofErr w:type="spellStart"/>
            <w:r>
              <w:t>Num</w:t>
            </w:r>
            <w:proofErr w:type="spellEnd"/>
          </w:p>
        </w:tc>
        <w:tc>
          <w:tcPr>
            <w:tcW w:w="4788" w:type="dxa"/>
          </w:tcPr>
          <w:p w:rsidR="00DB4CC9" w:rsidRDefault="00DB4CC9" w:rsidP="00DB4CC9">
            <w:r>
              <w:t>Action</w:t>
            </w:r>
          </w:p>
        </w:tc>
      </w:tr>
      <w:tr w:rsidR="00DB4CC9" w:rsidTr="00DB4CC9">
        <w:tc>
          <w:tcPr>
            <w:tcW w:w="4788" w:type="dxa"/>
          </w:tcPr>
          <w:p w:rsidR="00DB4CC9" w:rsidRDefault="00DB4CC9" w:rsidP="00DB4CC9">
            <w:r>
              <w:t>0</w:t>
            </w:r>
          </w:p>
        </w:tc>
        <w:tc>
          <w:tcPr>
            <w:tcW w:w="4788" w:type="dxa"/>
          </w:tcPr>
          <w:p w:rsidR="00DB4CC9" w:rsidRDefault="00DB4CC9" w:rsidP="00DB4CC9">
            <w:r>
              <w:t xml:space="preserve">Push cart to the left  </w:t>
            </w:r>
          </w:p>
        </w:tc>
      </w:tr>
      <w:tr w:rsidR="00DB4CC9" w:rsidTr="00DB4CC9">
        <w:tc>
          <w:tcPr>
            <w:tcW w:w="4788" w:type="dxa"/>
          </w:tcPr>
          <w:p w:rsidR="00DB4CC9" w:rsidRDefault="00DB4CC9" w:rsidP="00DB4CC9">
            <w:r>
              <w:t>1</w:t>
            </w:r>
          </w:p>
        </w:tc>
        <w:tc>
          <w:tcPr>
            <w:tcW w:w="4788" w:type="dxa"/>
          </w:tcPr>
          <w:p w:rsidR="00DB4CC9" w:rsidRDefault="00DB4CC9" w:rsidP="00DB4CC9">
            <w:r>
              <w:t>Push cart to the right</w:t>
            </w:r>
          </w:p>
        </w:tc>
      </w:tr>
      <w:tr w:rsidR="00DB4CC9" w:rsidTr="00DB4CC9">
        <w:tc>
          <w:tcPr>
            <w:tcW w:w="4788" w:type="dxa"/>
          </w:tcPr>
          <w:p w:rsidR="00DB4CC9" w:rsidRDefault="00DB4CC9" w:rsidP="00DB4CC9"/>
        </w:tc>
        <w:tc>
          <w:tcPr>
            <w:tcW w:w="4788" w:type="dxa"/>
          </w:tcPr>
          <w:p w:rsidR="00DB4CC9" w:rsidRDefault="00DB4CC9" w:rsidP="00DB4CC9"/>
        </w:tc>
      </w:tr>
    </w:tbl>
    <w:p w:rsidR="00DB4CC9" w:rsidRDefault="00DB4CC9" w:rsidP="00DB4CC9">
      <w:r>
        <w:t xml:space="preserve">Note: The amount the velocity is reduced or increased is not fixed as it depends on </w:t>
      </w:r>
      <w:r>
        <w:t xml:space="preserve">the angle the pole is pointing. </w:t>
      </w:r>
      <w:r>
        <w:t xml:space="preserve">This is because the </w:t>
      </w:r>
      <w:r>
        <w:t>centre</w:t>
      </w:r>
      <w:r>
        <w:t xml:space="preserve"> of gravity of the pole increases the amount of energy needed to move the cart underneath it</w:t>
      </w:r>
    </w:p>
    <w:p w:rsidR="00DB4CC9" w:rsidRDefault="00DB4CC9" w:rsidP="00DB4CC9"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IN"/>
        </w:rPr>
        <w:t>Approach</w:t>
      </w:r>
      <w:r>
        <w:t>:</w:t>
      </w:r>
    </w:p>
    <w:p w:rsidR="00DB4CC9" w:rsidRDefault="00DB4CC9" w:rsidP="00DB4CC9">
      <w:r>
        <w:t xml:space="preserve">This exercise was undertaken to explore the Policy gradient methodology that is best suited for continuous action spaces and for identifying stochastic policies. I used the REINFORCE method that uses completes a full episode (Monte Carlo updates) before running the state features through a one-layer </w:t>
      </w:r>
      <w:proofErr w:type="gramStart"/>
      <w:r>
        <w:t>Fully</w:t>
      </w:r>
      <w:proofErr w:type="gramEnd"/>
      <w:r>
        <w:t xml:space="preserve"> connected layer. </w:t>
      </w:r>
    </w:p>
    <w:p w:rsidR="00DB4CC9" w:rsidRDefault="00DB4CC9" w:rsidP="00DB4CC9"/>
    <w:sectPr w:rsidR="00DB4CC9" w:rsidSect="00A20648">
      <w:pgSz w:w="12240" w:h="15840"/>
      <w:pgMar w:top="1440" w:right="1440" w:bottom="1440" w:left="1440" w:header="708" w:footer="708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74EAC"/>
    <w:multiLevelType w:val="hybridMultilevel"/>
    <w:tmpl w:val="BF4A1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B1139"/>
    <w:multiLevelType w:val="hybridMultilevel"/>
    <w:tmpl w:val="D9D66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692"/>
    <w:rsid w:val="00205E6B"/>
    <w:rsid w:val="006E1692"/>
    <w:rsid w:val="0090684B"/>
    <w:rsid w:val="00A15484"/>
    <w:rsid w:val="00B772EC"/>
    <w:rsid w:val="00C7473B"/>
    <w:rsid w:val="00CD696F"/>
    <w:rsid w:val="00DB4CC9"/>
    <w:rsid w:val="00F16A07"/>
    <w:rsid w:val="00F2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F201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F201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IN"/>
    </w:rPr>
  </w:style>
  <w:style w:type="paragraph" w:styleId="ListParagraph">
    <w:name w:val="List Paragraph"/>
    <w:basedOn w:val="Normal"/>
    <w:uiPriority w:val="34"/>
    <w:qFormat/>
    <w:rsid w:val="00F201BE"/>
    <w:pPr>
      <w:ind w:left="720"/>
      <w:contextualSpacing/>
    </w:pPr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F201BE"/>
    <w:rPr>
      <w:color w:val="0000FF" w:themeColor="hyperlink"/>
      <w:u w:val="single"/>
    </w:rPr>
  </w:style>
  <w:style w:type="character" w:customStyle="1" w:styleId="pl-s">
    <w:name w:val="pl-s"/>
    <w:basedOn w:val="DefaultParagraphFont"/>
    <w:rsid w:val="00F201BE"/>
  </w:style>
  <w:style w:type="table" w:styleId="TableGrid">
    <w:name w:val="Table Grid"/>
    <w:basedOn w:val="TableNormal"/>
    <w:uiPriority w:val="59"/>
    <w:rsid w:val="009068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F201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F201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IN"/>
    </w:rPr>
  </w:style>
  <w:style w:type="paragraph" w:styleId="ListParagraph">
    <w:name w:val="List Paragraph"/>
    <w:basedOn w:val="Normal"/>
    <w:uiPriority w:val="34"/>
    <w:qFormat/>
    <w:rsid w:val="00F201BE"/>
    <w:pPr>
      <w:ind w:left="720"/>
      <w:contextualSpacing/>
    </w:pPr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F201BE"/>
    <w:rPr>
      <w:color w:val="0000FF" w:themeColor="hyperlink"/>
      <w:u w:val="single"/>
    </w:rPr>
  </w:style>
  <w:style w:type="character" w:customStyle="1" w:styleId="pl-s">
    <w:name w:val="pl-s"/>
    <w:basedOn w:val="DefaultParagraphFont"/>
    <w:rsid w:val="00F201BE"/>
  </w:style>
  <w:style w:type="table" w:styleId="TableGrid">
    <w:name w:val="Table Grid"/>
    <w:basedOn w:val="TableNormal"/>
    <w:uiPriority w:val="59"/>
    <w:rsid w:val="009068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1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openai/gym/blob/master/gym/envs/classic_control/cartpole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document/631307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Swami</cp:lastModifiedBy>
  <cp:revision>8</cp:revision>
  <cp:lastPrinted>2022-02-07T16:56:00Z</cp:lastPrinted>
  <dcterms:created xsi:type="dcterms:W3CDTF">2021-10-11T16:57:00Z</dcterms:created>
  <dcterms:modified xsi:type="dcterms:W3CDTF">2022-02-07T17:04:00Z</dcterms:modified>
</cp:coreProperties>
</file>