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MIF Shield — External Resources &amp; Attribution</w:t>
      </w:r>
    </w:p>
    <w:p>
      <w:pPr>
        <w:spacing w:after="120"/>
      </w:pPr>
      <w:r>
        <w:rPr>
          <w:i w:val="0"/>
          <w:color w:val="5A5A6C"/>
        </w:rPr>
        <w:t>Anti-fraud system concept — Team CF-33</w:t>
      </w:r>
    </w:p>
    <w:p>
      <w:pPr>
        <w:spacing w:after="120"/>
      </w:pPr>
      <w:r>
        <w:rPr>
          <w:i w:val="0"/>
        </w:rPr>
        <w:t>Every third-party resource used in this project, what it is used for, and its licence. All of these are free and open source, and all are used within their licence terms.</w:t>
      </w:r>
    </w:p>
    <w:p>
      <w:pPr>
        <w:spacing w:before="240" w:after="100"/>
      </w:pPr>
      <w:r>
        <w:rPr>
          <w:b/>
          <w:sz w:val="30"/>
        </w:rPr>
        <w:t>1. Software libraries we build with</w:t>
      </w:r>
    </w:p>
    <w:p>
      <w:pPr>
        <w:spacing w:after="120"/>
      </w:pPr>
      <w:r>
        <w:rPr>
          <w:i w:val="0"/>
        </w:rPr>
        <w:t>Installed through npm. These are listed in package.json and are not written by us.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016"/>
          </w:tcPr>
          <w:p>
            <w:r/>
            <w:r>
              <w:rPr>
                <w:b/>
                <w:sz w:val="19"/>
              </w:rPr>
              <w:t>Library</w:t>
            </w:r>
          </w:p>
        </w:tc>
        <w:tc>
          <w:tcPr>
            <w:tcW w:type="dxa" w:w="1152"/>
          </w:tcPr>
          <w:p>
            <w:r/>
            <w:r>
              <w:rPr>
                <w:b/>
                <w:sz w:val="19"/>
              </w:rPr>
              <w:t>Version</w:t>
            </w:r>
          </w:p>
        </w:tc>
        <w:tc>
          <w:tcPr>
            <w:tcW w:type="dxa" w:w="4176"/>
          </w:tcPr>
          <w:p>
            <w:r/>
            <w:r>
              <w:rPr>
                <w:b/>
                <w:sz w:val="19"/>
              </w:rPr>
              <w:t>What we use it for</w:t>
            </w:r>
          </w:p>
        </w:tc>
        <w:tc>
          <w:tcPr>
            <w:tcW w:type="dxa" w:w="1008"/>
          </w:tcPr>
          <w:p>
            <w:r/>
            <w:r>
              <w:rPr>
                <w:b/>
                <w:sz w:val="19"/>
              </w:rPr>
              <w:t>Licence</w:t>
            </w:r>
          </w:p>
        </w:tc>
      </w:tr>
      <w:tr>
        <w:tc>
          <w:tcPr>
            <w:tcW w:type="dxa" w:w="2016"/>
          </w:tcPr>
          <w:p>
            <w:r/>
            <w:r>
              <w:rPr>
                <w:sz w:val="19"/>
              </w:rPr>
              <w:t>React</w:t>
            </w:r>
          </w:p>
        </w:tc>
        <w:tc>
          <w:tcPr>
            <w:tcW w:type="dxa" w:w="1152"/>
          </w:tcPr>
          <w:p>
            <w:r/>
            <w:r>
              <w:rPr>
                <w:sz w:val="19"/>
              </w:rPr>
              <w:t>18.3.1</w:t>
            </w:r>
          </w:p>
        </w:tc>
        <w:tc>
          <w:tcPr>
            <w:tcW w:type="dxa" w:w="4176"/>
          </w:tcPr>
          <w:p>
            <w:r/>
            <w:r>
              <w:rPr>
                <w:sz w:val="19"/>
              </w:rPr>
              <w:t>Building the website and dashboard screens</w:t>
            </w:r>
          </w:p>
        </w:tc>
        <w:tc>
          <w:tcPr>
            <w:tcW w:type="dxa" w:w="1008"/>
          </w:tcPr>
          <w:p>
            <w:r/>
            <w:r>
              <w:rPr>
                <w:sz w:val="19"/>
              </w:rPr>
              <w:t>MIT</w:t>
            </w:r>
          </w:p>
        </w:tc>
      </w:tr>
      <w:tr>
        <w:tc>
          <w:tcPr>
            <w:tcW w:type="dxa" w:w="2016"/>
          </w:tcPr>
          <w:p>
            <w:r/>
            <w:r>
              <w:rPr>
                <w:sz w:val="19"/>
              </w:rPr>
              <w:t>React DOM</w:t>
            </w:r>
          </w:p>
        </w:tc>
        <w:tc>
          <w:tcPr>
            <w:tcW w:type="dxa" w:w="1152"/>
          </w:tcPr>
          <w:p>
            <w:r/>
            <w:r>
              <w:rPr>
                <w:sz w:val="19"/>
              </w:rPr>
              <w:t>18.3.1</w:t>
            </w:r>
          </w:p>
        </w:tc>
        <w:tc>
          <w:tcPr>
            <w:tcW w:type="dxa" w:w="4176"/>
          </w:tcPr>
          <w:p>
            <w:r/>
            <w:r>
              <w:rPr>
                <w:sz w:val="19"/>
              </w:rPr>
              <w:t>Rendering React into the page</w:t>
            </w:r>
          </w:p>
        </w:tc>
        <w:tc>
          <w:tcPr>
            <w:tcW w:type="dxa" w:w="1008"/>
          </w:tcPr>
          <w:p>
            <w:r/>
            <w:r>
              <w:rPr>
                <w:sz w:val="19"/>
              </w:rPr>
              <w:t>MIT</w:t>
            </w:r>
          </w:p>
        </w:tc>
      </w:tr>
      <w:tr>
        <w:tc>
          <w:tcPr>
            <w:tcW w:type="dxa" w:w="2016"/>
          </w:tcPr>
          <w:p>
            <w:r/>
            <w:r>
              <w:rPr>
                <w:sz w:val="19"/>
              </w:rPr>
              <w:t>Vite</w:t>
            </w:r>
          </w:p>
        </w:tc>
        <w:tc>
          <w:tcPr>
            <w:tcW w:type="dxa" w:w="1152"/>
          </w:tcPr>
          <w:p>
            <w:r/>
            <w:r>
              <w:rPr>
                <w:sz w:val="19"/>
              </w:rPr>
              <w:t>6.x</w:t>
            </w:r>
          </w:p>
        </w:tc>
        <w:tc>
          <w:tcPr>
            <w:tcW w:type="dxa" w:w="4176"/>
          </w:tcPr>
          <w:p>
            <w:r/>
            <w:r>
              <w:rPr>
                <w:sz w:val="19"/>
              </w:rPr>
              <w:t>Development server and build tool</w:t>
            </w:r>
          </w:p>
        </w:tc>
        <w:tc>
          <w:tcPr>
            <w:tcW w:type="dxa" w:w="1008"/>
          </w:tcPr>
          <w:p>
            <w:r/>
            <w:r>
              <w:rPr>
                <w:sz w:val="19"/>
              </w:rPr>
              <w:t>MIT</w:t>
            </w:r>
          </w:p>
        </w:tc>
      </w:tr>
      <w:tr>
        <w:tc>
          <w:tcPr>
            <w:tcW w:type="dxa" w:w="2016"/>
          </w:tcPr>
          <w:p>
            <w:r/>
            <w:r>
              <w:rPr>
                <w:sz w:val="19"/>
              </w:rPr>
              <w:t>@vitejs/plugin-react</w:t>
            </w:r>
          </w:p>
        </w:tc>
        <w:tc>
          <w:tcPr>
            <w:tcW w:type="dxa" w:w="1152"/>
          </w:tcPr>
          <w:p>
            <w:r/>
            <w:r>
              <w:rPr>
                <w:sz w:val="19"/>
              </w:rPr>
              <w:t>4.x</w:t>
            </w:r>
          </w:p>
        </w:tc>
        <w:tc>
          <w:tcPr>
            <w:tcW w:type="dxa" w:w="4176"/>
          </w:tcPr>
          <w:p>
            <w:r/>
            <w:r>
              <w:rPr>
                <w:sz w:val="19"/>
              </w:rPr>
              <w:t>Lets Vite understand React files</w:t>
            </w:r>
          </w:p>
        </w:tc>
        <w:tc>
          <w:tcPr>
            <w:tcW w:type="dxa" w:w="1008"/>
          </w:tcPr>
          <w:p>
            <w:r/>
            <w:r>
              <w:rPr>
                <w:sz w:val="19"/>
              </w:rPr>
              <w:t>MIT</w:t>
            </w:r>
          </w:p>
        </w:tc>
      </w:tr>
      <w:tr>
        <w:tc>
          <w:tcPr>
            <w:tcW w:type="dxa" w:w="2016"/>
          </w:tcPr>
          <w:p>
            <w:r/>
            <w:r>
              <w:rPr>
                <w:sz w:val="19"/>
              </w:rPr>
              <w:t>Tailwind CSS</w:t>
            </w:r>
          </w:p>
        </w:tc>
        <w:tc>
          <w:tcPr>
            <w:tcW w:type="dxa" w:w="1152"/>
          </w:tcPr>
          <w:p>
            <w:r/>
            <w:r>
              <w:rPr>
                <w:sz w:val="19"/>
              </w:rPr>
              <w:t>3.4.17</w:t>
            </w:r>
          </w:p>
        </w:tc>
        <w:tc>
          <w:tcPr>
            <w:tcW w:type="dxa" w:w="4176"/>
          </w:tcPr>
          <w:p>
            <w:r/>
            <w:r>
              <w:rPr>
                <w:sz w:val="19"/>
              </w:rPr>
              <w:t>Styling the interface</w:t>
            </w:r>
          </w:p>
        </w:tc>
        <w:tc>
          <w:tcPr>
            <w:tcW w:type="dxa" w:w="1008"/>
          </w:tcPr>
          <w:p>
            <w:r/>
            <w:r>
              <w:rPr>
                <w:sz w:val="19"/>
              </w:rPr>
              <w:t>MIT</w:t>
            </w:r>
          </w:p>
        </w:tc>
      </w:tr>
      <w:tr>
        <w:tc>
          <w:tcPr>
            <w:tcW w:type="dxa" w:w="2016"/>
          </w:tcPr>
          <w:p>
            <w:r/>
            <w:r>
              <w:rPr>
                <w:sz w:val="19"/>
              </w:rPr>
              <w:t>PostCSS</w:t>
            </w:r>
          </w:p>
        </w:tc>
        <w:tc>
          <w:tcPr>
            <w:tcW w:type="dxa" w:w="1152"/>
          </w:tcPr>
          <w:p>
            <w:r/>
            <w:r>
              <w:rPr>
                <w:sz w:val="19"/>
              </w:rPr>
              <w:t>8.x</w:t>
            </w:r>
          </w:p>
        </w:tc>
        <w:tc>
          <w:tcPr>
            <w:tcW w:type="dxa" w:w="4176"/>
          </w:tcPr>
          <w:p>
            <w:r/>
            <w:r>
              <w:rPr>
                <w:sz w:val="19"/>
              </w:rPr>
              <w:t>Processing our stylesheets</w:t>
            </w:r>
          </w:p>
        </w:tc>
        <w:tc>
          <w:tcPr>
            <w:tcW w:type="dxa" w:w="1008"/>
          </w:tcPr>
          <w:p>
            <w:r/>
            <w:r>
              <w:rPr>
                <w:sz w:val="19"/>
              </w:rPr>
              <w:t>MIT</w:t>
            </w:r>
          </w:p>
        </w:tc>
      </w:tr>
      <w:tr>
        <w:tc>
          <w:tcPr>
            <w:tcW w:type="dxa" w:w="2016"/>
          </w:tcPr>
          <w:p>
            <w:r/>
            <w:r>
              <w:rPr>
                <w:sz w:val="19"/>
              </w:rPr>
              <w:t>Autoprefixer</w:t>
            </w:r>
          </w:p>
        </w:tc>
        <w:tc>
          <w:tcPr>
            <w:tcW w:type="dxa" w:w="1152"/>
          </w:tcPr>
          <w:p>
            <w:r/>
            <w:r>
              <w:rPr>
                <w:sz w:val="19"/>
              </w:rPr>
              <w:t>10.x</w:t>
            </w:r>
          </w:p>
        </w:tc>
        <w:tc>
          <w:tcPr>
            <w:tcW w:type="dxa" w:w="4176"/>
          </w:tcPr>
          <w:p>
            <w:r/>
            <w:r>
              <w:rPr>
                <w:sz w:val="19"/>
              </w:rPr>
              <w:t>Browser compatibility for CSS</w:t>
            </w:r>
          </w:p>
        </w:tc>
        <w:tc>
          <w:tcPr>
            <w:tcW w:type="dxa" w:w="1008"/>
          </w:tcPr>
          <w:p>
            <w:r/>
            <w:r>
              <w:rPr>
                <w:sz w:val="19"/>
              </w:rPr>
              <w:t>MIT</w:t>
            </w:r>
          </w:p>
        </w:tc>
      </w:tr>
    </w:tbl>
    <w:p>
      <w:pPr>
        <w:spacing w:after="40"/>
      </w:pPr>
    </w:p>
    <w:p>
      <w:pPr>
        <w:spacing w:before="240" w:after="100"/>
      </w:pPr>
      <w:r>
        <w:rPr>
          <w:b/>
          <w:sz w:val="30"/>
        </w:rPr>
        <w:t>2. Fonts (redistributed inside this project)</w:t>
      </w:r>
    </w:p>
    <w:p>
      <w:pPr>
        <w:spacing w:after="120"/>
      </w:pPr>
      <w:r>
        <w:rPr>
          <w:i w:val="0"/>
        </w:rPr>
        <w:t>IMPORTANT: the font files are included in our repository, so their licence notice must travel with them. Both are SIL Open Font License 1.1, which permits bundling and redistribution provided the fonts are not sold on their own and the licence is included.</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9"/>
              </w:rPr>
              <w:t>Font</w:t>
            </w:r>
          </w:p>
        </w:tc>
        <w:tc>
          <w:tcPr>
            <w:tcW w:type="dxa" w:w="2880"/>
          </w:tcPr>
          <w:p>
            <w:r/>
            <w:r>
              <w:rPr>
                <w:b/>
                <w:sz w:val="19"/>
              </w:rPr>
              <w:t>Used for</w:t>
            </w:r>
          </w:p>
        </w:tc>
        <w:tc>
          <w:tcPr>
            <w:tcW w:type="dxa" w:w="1728"/>
          </w:tcPr>
          <w:p>
            <w:r/>
            <w:r>
              <w:rPr>
                <w:b/>
                <w:sz w:val="19"/>
              </w:rPr>
              <w:t>Author</w:t>
            </w:r>
          </w:p>
        </w:tc>
        <w:tc>
          <w:tcPr>
            <w:tcW w:type="dxa" w:w="1296"/>
          </w:tcPr>
          <w:p>
            <w:r/>
            <w:r>
              <w:rPr>
                <w:b/>
                <w:sz w:val="19"/>
              </w:rPr>
              <w:t>Licence</w:t>
            </w:r>
          </w:p>
        </w:tc>
        <w:tc>
          <w:tcPr>
            <w:tcW w:type="dxa" w:w="2160"/>
          </w:tcPr>
          <w:p>
            <w:r/>
            <w:r>
              <w:rPr>
                <w:b/>
                <w:sz w:val="19"/>
              </w:rPr>
              <w:t>Source</w:t>
            </w:r>
          </w:p>
        </w:tc>
      </w:tr>
      <w:tr>
        <w:tc>
          <w:tcPr>
            <w:tcW w:type="dxa" w:w="1728"/>
          </w:tcPr>
          <w:p>
            <w:r/>
            <w:r>
              <w:rPr>
                <w:sz w:val="19"/>
              </w:rPr>
              <w:t>Inter</w:t>
            </w:r>
          </w:p>
        </w:tc>
        <w:tc>
          <w:tcPr>
            <w:tcW w:type="dxa" w:w="2880"/>
          </w:tcPr>
          <w:p>
            <w:r/>
            <w:r>
              <w:rPr>
                <w:sz w:val="19"/>
              </w:rPr>
              <w:t>All interface text</w:t>
            </w:r>
          </w:p>
        </w:tc>
        <w:tc>
          <w:tcPr>
            <w:tcW w:type="dxa" w:w="1728"/>
          </w:tcPr>
          <w:p>
            <w:r/>
            <w:r>
              <w:rPr>
                <w:sz w:val="19"/>
              </w:rPr>
              <w:t>Rasmus Andersson</w:t>
            </w:r>
          </w:p>
        </w:tc>
        <w:tc>
          <w:tcPr>
            <w:tcW w:type="dxa" w:w="1296"/>
          </w:tcPr>
          <w:p>
            <w:r/>
            <w:r>
              <w:rPr>
                <w:sz w:val="19"/>
              </w:rPr>
              <w:t>SIL OFL 1.1</w:t>
            </w:r>
          </w:p>
        </w:tc>
        <w:tc>
          <w:tcPr>
            <w:tcW w:type="dxa" w:w="2160"/>
          </w:tcPr>
          <w:p>
            <w:r/>
            <w:r>
              <w:rPr>
                <w:sz w:val="19"/>
              </w:rPr>
              <w:t>rsms.me/inter</w:t>
            </w:r>
          </w:p>
        </w:tc>
      </w:tr>
      <w:tr>
        <w:tc>
          <w:tcPr>
            <w:tcW w:type="dxa" w:w="1728"/>
          </w:tcPr>
          <w:p>
            <w:r/>
            <w:r>
              <w:rPr>
                <w:sz w:val="19"/>
              </w:rPr>
              <w:t>JetBrains Mono</w:t>
            </w:r>
          </w:p>
        </w:tc>
        <w:tc>
          <w:tcPr>
            <w:tcW w:type="dxa" w:w="2880"/>
          </w:tcPr>
          <w:p>
            <w:r/>
            <w:r>
              <w:rPr>
                <w:sz w:val="19"/>
              </w:rPr>
              <w:t>Hex dumps, file names, technical data</w:t>
            </w:r>
          </w:p>
        </w:tc>
        <w:tc>
          <w:tcPr>
            <w:tcW w:type="dxa" w:w="1728"/>
          </w:tcPr>
          <w:p>
            <w:r/>
            <w:r>
              <w:rPr>
                <w:sz w:val="19"/>
              </w:rPr>
              <w:t>JetBrains</w:t>
            </w:r>
          </w:p>
        </w:tc>
        <w:tc>
          <w:tcPr>
            <w:tcW w:type="dxa" w:w="1296"/>
          </w:tcPr>
          <w:p>
            <w:r/>
            <w:r>
              <w:rPr>
                <w:sz w:val="19"/>
              </w:rPr>
              <w:t>SIL OFL 1.1</w:t>
            </w:r>
          </w:p>
        </w:tc>
        <w:tc>
          <w:tcPr>
            <w:tcW w:type="dxa" w:w="2160"/>
          </w:tcPr>
          <w:p>
            <w:r/>
            <w:r>
              <w:rPr>
                <w:sz w:val="19"/>
              </w:rPr>
              <w:t>jetbrains.com/lp/mono</w:t>
            </w:r>
          </w:p>
        </w:tc>
      </w:tr>
    </w:tbl>
    <w:p>
      <w:pPr>
        <w:spacing w:after="40"/>
      </w:pPr>
    </w:p>
    <w:p>
      <w:pPr>
        <w:spacing w:after="120"/>
      </w:pPr>
      <w:r>
        <w:rPr>
          <w:i w:val="0"/>
        </w:rPr>
        <w:t>Both were downloaded from Google Fonts (fonts.google.com) and are served from inside the extension rather than from the internet, because Chrome Manifest V3 does not allow extension pages to load remote stylesheets. This also means the product works with no internet connection.</w:t>
      </w:r>
    </w:p>
    <w:p>
      <w:pPr>
        <w:spacing w:before="240" w:after="100"/>
      </w:pPr>
      <w:r>
        <w:rPr>
          <w:b/>
          <w:sz w:val="30"/>
        </w:rPr>
        <w:t>3. Platform APIs</w:t>
      </w:r>
    </w:p>
    <w:tbl>
      <w:tblPr>
        <w:tblStyle w:val="TableGrid"/>
        <w:tblW w:type="auto" w:w="0"/>
        <w:jc w:val="left"/>
        <w:tblLook w:firstColumn="1" w:firstRow="1" w:lastColumn="0" w:lastRow="0" w:noHBand="0" w:noVBand="1" w:val="04A0"/>
      </w:tblPr>
      <w:tblGrid>
        <w:gridCol w:w="2880"/>
        <w:gridCol w:w="2880"/>
        <w:gridCol w:w="2880"/>
      </w:tblGrid>
      <w:tr>
        <w:tc>
          <w:tcPr>
            <w:tcW w:type="dxa" w:w="3168"/>
          </w:tcPr>
          <w:p>
            <w:r/>
            <w:r>
              <w:rPr>
                <w:b/>
                <w:sz w:val="19"/>
              </w:rPr>
              <w:t>API</w:t>
            </w:r>
          </w:p>
        </w:tc>
        <w:tc>
          <w:tcPr>
            <w:tcW w:type="dxa" w:w="4032"/>
          </w:tcPr>
          <w:p>
            <w:r/>
            <w:r>
              <w:rPr>
                <w:b/>
                <w:sz w:val="19"/>
              </w:rPr>
              <w:t>What we use it for</w:t>
            </w:r>
          </w:p>
        </w:tc>
        <w:tc>
          <w:tcPr>
            <w:tcW w:type="dxa" w:w="2160"/>
          </w:tcPr>
          <w:p>
            <w:r/>
            <w:r>
              <w:rPr>
                <w:b/>
                <w:sz w:val="19"/>
              </w:rPr>
              <w:t>Provider</w:t>
            </w:r>
          </w:p>
        </w:tc>
      </w:tr>
      <w:tr>
        <w:tc>
          <w:tcPr>
            <w:tcW w:type="dxa" w:w="3168"/>
          </w:tcPr>
          <w:p>
            <w:r/>
            <w:r>
              <w:rPr>
                <w:sz w:val="19"/>
              </w:rPr>
              <w:t>Chrome Extensions Manifest V3</w:t>
            </w:r>
          </w:p>
        </w:tc>
        <w:tc>
          <w:tcPr>
            <w:tcW w:type="dxa" w:w="4032"/>
          </w:tcPr>
          <w:p>
            <w:r/>
            <w:r>
              <w:rPr>
                <w:sz w:val="19"/>
              </w:rPr>
              <w:t>The extension format itself</w:t>
            </w:r>
          </w:p>
        </w:tc>
        <w:tc>
          <w:tcPr>
            <w:tcW w:type="dxa" w:w="2160"/>
          </w:tcPr>
          <w:p>
            <w:r/>
            <w:r>
              <w:rPr>
                <w:sz w:val="19"/>
              </w:rPr>
              <w:t>Google / Chromium</w:t>
            </w:r>
          </w:p>
        </w:tc>
      </w:tr>
      <w:tr>
        <w:tc>
          <w:tcPr>
            <w:tcW w:type="dxa" w:w="3168"/>
          </w:tcPr>
          <w:p>
            <w:r/>
            <w:r>
              <w:rPr>
                <w:sz w:val="19"/>
              </w:rPr>
              <w:t>chrome.downloads</w:t>
            </w:r>
          </w:p>
        </w:tc>
        <w:tc>
          <w:tcPr>
            <w:tcW w:type="dxa" w:w="4032"/>
          </w:tcPr>
          <w:p>
            <w:r/>
            <w:r>
              <w:rPr>
                <w:sz w:val="19"/>
              </w:rPr>
              <w:t>Inspecting downloads before they land</w:t>
            </w:r>
          </w:p>
        </w:tc>
        <w:tc>
          <w:tcPr>
            <w:tcW w:type="dxa" w:w="2160"/>
          </w:tcPr>
          <w:p>
            <w:r/>
            <w:r>
              <w:rPr>
                <w:sz w:val="19"/>
              </w:rPr>
              <w:t>Google / Chromium</w:t>
            </w:r>
          </w:p>
        </w:tc>
      </w:tr>
      <w:tr>
        <w:tc>
          <w:tcPr>
            <w:tcW w:type="dxa" w:w="3168"/>
          </w:tcPr>
          <w:p>
            <w:r/>
            <w:r>
              <w:rPr>
                <w:sz w:val="19"/>
              </w:rPr>
              <w:t>chrome.notifications</w:t>
            </w:r>
          </w:p>
        </w:tc>
        <w:tc>
          <w:tcPr>
            <w:tcW w:type="dxa" w:w="4032"/>
          </w:tcPr>
          <w:p>
            <w:r/>
            <w:r>
              <w:rPr>
                <w:sz w:val="19"/>
              </w:rPr>
              <w:t>Warning the user when something is blocked</w:t>
            </w:r>
          </w:p>
        </w:tc>
        <w:tc>
          <w:tcPr>
            <w:tcW w:type="dxa" w:w="2160"/>
          </w:tcPr>
          <w:p>
            <w:r/>
            <w:r>
              <w:rPr>
                <w:sz w:val="19"/>
              </w:rPr>
              <w:t>Google / Chromium</w:t>
            </w:r>
          </w:p>
        </w:tc>
      </w:tr>
      <w:tr>
        <w:tc>
          <w:tcPr>
            <w:tcW w:type="dxa" w:w="3168"/>
          </w:tcPr>
          <w:p>
            <w:r/>
            <w:r>
              <w:rPr>
                <w:sz w:val="19"/>
              </w:rPr>
              <w:t>chrome.contextMenus</w:t>
            </w:r>
          </w:p>
        </w:tc>
        <w:tc>
          <w:tcPr>
            <w:tcW w:type="dxa" w:w="4032"/>
          </w:tcPr>
          <w:p>
            <w:r/>
            <w:r>
              <w:rPr>
                <w:sz w:val="19"/>
              </w:rPr>
              <w:t>The right-click "Check this message" option</w:t>
            </w:r>
          </w:p>
        </w:tc>
        <w:tc>
          <w:tcPr>
            <w:tcW w:type="dxa" w:w="2160"/>
          </w:tcPr>
          <w:p>
            <w:r/>
            <w:r>
              <w:rPr>
                <w:sz w:val="19"/>
              </w:rPr>
              <w:t>Google / Chromium</w:t>
            </w:r>
          </w:p>
        </w:tc>
      </w:tr>
      <w:tr>
        <w:tc>
          <w:tcPr>
            <w:tcW w:type="dxa" w:w="3168"/>
          </w:tcPr>
          <w:p>
            <w:r/>
            <w:r>
              <w:rPr>
                <w:sz w:val="19"/>
              </w:rPr>
              <w:t>chrome.storage</w:t>
            </w:r>
          </w:p>
        </w:tc>
        <w:tc>
          <w:tcPr>
            <w:tcW w:type="dxa" w:w="4032"/>
          </w:tcPr>
          <w:p>
            <w:r/>
            <w:r>
              <w:rPr>
                <w:sz w:val="19"/>
              </w:rPr>
              <w:t>Storing the local event log on the device</w:t>
            </w:r>
          </w:p>
        </w:tc>
        <w:tc>
          <w:tcPr>
            <w:tcW w:type="dxa" w:w="2160"/>
          </w:tcPr>
          <w:p>
            <w:r/>
            <w:r>
              <w:rPr>
                <w:sz w:val="19"/>
              </w:rPr>
              <w:t>Google / Chromium</w:t>
            </w:r>
          </w:p>
        </w:tc>
      </w:tr>
      <w:tr>
        <w:tc>
          <w:tcPr>
            <w:tcW w:type="dxa" w:w="3168"/>
          </w:tcPr>
          <w:p>
            <w:r/>
            <w:r>
              <w:rPr>
                <w:sz w:val="19"/>
              </w:rPr>
              <w:t>IntersectionObserver</w:t>
            </w:r>
          </w:p>
        </w:tc>
        <w:tc>
          <w:tcPr>
            <w:tcW w:type="dxa" w:w="4032"/>
          </w:tcPr>
          <w:p>
            <w:r/>
            <w:r>
              <w:rPr>
                <w:sz w:val="19"/>
              </w:rPr>
              <w:t>Scroll animations on the website</w:t>
            </w:r>
          </w:p>
        </w:tc>
        <w:tc>
          <w:tcPr>
            <w:tcW w:type="dxa" w:w="2160"/>
          </w:tcPr>
          <w:p>
            <w:r/>
            <w:r>
              <w:rPr>
                <w:sz w:val="19"/>
              </w:rPr>
              <w:t>Web standard (W3C)</w:t>
            </w:r>
          </w:p>
        </w:tc>
      </w:tr>
    </w:tbl>
    <w:p>
      <w:pPr>
        <w:spacing w:after="40"/>
      </w:pPr>
    </w:p>
    <w:p>
      <w:pPr>
        <w:spacing w:before="240" w:after="100"/>
      </w:pPr>
      <w:r>
        <w:rPr>
          <w:b/>
          <w:sz w:val="30"/>
        </w:rPr>
        <w:t>4. Tools used while building</w:t>
      </w:r>
    </w:p>
    <w:tbl>
      <w:tblPr>
        <w:tblStyle w:val="TableGrid"/>
        <w:tblW w:type="auto" w:w="0"/>
        <w:jc w:val="left"/>
        <w:tblLook w:firstColumn="1" w:firstRow="1" w:lastColumn="0" w:lastRow="0" w:noHBand="0" w:noVBand="1" w:val="04A0"/>
      </w:tblPr>
      <w:tblGrid>
        <w:gridCol w:w="4320"/>
        <w:gridCol w:w="4320"/>
      </w:tblGrid>
      <w:tr>
        <w:tc>
          <w:tcPr>
            <w:tcW w:type="dxa" w:w="2880"/>
          </w:tcPr>
          <w:p>
            <w:r/>
            <w:r>
              <w:rPr>
                <w:b/>
                <w:sz w:val="19"/>
              </w:rPr>
              <w:t>Tool</w:t>
            </w:r>
          </w:p>
        </w:tc>
        <w:tc>
          <w:tcPr>
            <w:tcW w:type="dxa" w:w="5760"/>
          </w:tcPr>
          <w:p>
            <w:r/>
            <w:r>
              <w:rPr>
                <w:b/>
                <w:sz w:val="19"/>
              </w:rPr>
              <w:t>What we used it for</w:t>
            </w:r>
          </w:p>
        </w:tc>
      </w:tr>
      <w:tr>
        <w:tc>
          <w:tcPr>
            <w:tcW w:type="dxa" w:w="2880"/>
          </w:tcPr>
          <w:p>
            <w:r/>
            <w:r>
              <w:rPr>
                <w:sz w:val="19"/>
              </w:rPr>
              <w:t>draw.io (diagrams.net)</w:t>
            </w:r>
          </w:p>
        </w:tc>
        <w:tc>
          <w:tcPr>
            <w:tcW w:type="dxa" w:w="5760"/>
          </w:tcPr>
          <w:p>
            <w:r/>
            <w:r>
              <w:rPr>
                <w:sz w:val="19"/>
              </w:rPr>
              <w:t>The flowcharts in our original project document</w:t>
            </w:r>
          </w:p>
        </w:tc>
      </w:tr>
      <w:tr>
        <w:tc>
          <w:tcPr>
            <w:tcW w:type="dxa" w:w="2880"/>
          </w:tcPr>
          <w:p>
            <w:r/>
            <w:r>
              <w:rPr>
                <w:sz w:val="19"/>
              </w:rPr>
              <w:t>Node.js and npm</w:t>
            </w:r>
          </w:p>
        </w:tc>
        <w:tc>
          <w:tcPr>
            <w:tcW w:type="dxa" w:w="5760"/>
          </w:tcPr>
          <w:p>
            <w:r/>
            <w:r>
              <w:rPr>
                <w:sz w:val="19"/>
              </w:rPr>
              <w:t>Running and packaging the project</w:t>
            </w:r>
          </w:p>
        </w:tc>
      </w:tr>
      <w:tr>
        <w:tc>
          <w:tcPr>
            <w:tcW w:type="dxa" w:w="2880"/>
          </w:tcPr>
          <w:p>
            <w:r/>
            <w:r>
              <w:rPr>
                <w:sz w:val="19"/>
              </w:rPr>
              <w:t>Git and GitHub</w:t>
            </w:r>
          </w:p>
        </w:tc>
        <w:tc>
          <w:tcPr>
            <w:tcW w:type="dxa" w:w="5760"/>
          </w:tcPr>
          <w:p>
            <w:r/>
            <w:r>
              <w:rPr>
                <w:sz w:val="19"/>
              </w:rPr>
              <w:t>Version control and sharing code within the team</w:t>
            </w:r>
          </w:p>
        </w:tc>
      </w:tr>
    </w:tbl>
    <w:p>
      <w:pPr>
        <w:spacing w:after="40"/>
      </w:pPr>
    </w:p>
    <w:p>
      <w:pPr>
        <w:spacing w:before="240" w:after="100"/>
      </w:pPr>
      <w:r>
        <w:rPr>
          <w:b/>
          <w:sz w:val="30"/>
        </w:rPr>
        <w:t>5. Reference information used in the content</w:t>
      </w:r>
    </w:p>
    <w:p>
      <w:pPr>
        <w:spacing w:after="120"/>
      </w:pPr>
      <w:r>
        <w:rPr>
          <w:i w:val="0"/>
        </w:rPr>
        <w:t>Facts and safety guidance shown to users came from official Indian sources. No content was copied; these informed what we wrote.</w:t>
      </w:r>
    </w:p>
    <w:tbl>
      <w:tblPr>
        <w:tblStyle w:val="TableGrid"/>
        <w:tblW w:type="auto" w:w="0"/>
        <w:jc w:val="left"/>
        <w:tblLook w:firstColumn="1" w:firstRow="1" w:lastColumn="0" w:lastRow="0" w:noHBand="0" w:noVBand="1" w:val="04A0"/>
      </w:tblPr>
      <w:tblGrid>
        <w:gridCol w:w="4320"/>
        <w:gridCol w:w="4320"/>
      </w:tblGrid>
      <w:tr>
        <w:tc>
          <w:tcPr>
            <w:tcW w:type="dxa" w:w="3744"/>
          </w:tcPr>
          <w:p>
            <w:r/>
            <w:r>
              <w:rPr>
                <w:b/>
                <w:sz w:val="19"/>
              </w:rPr>
              <w:t>Source</w:t>
            </w:r>
          </w:p>
        </w:tc>
        <w:tc>
          <w:tcPr>
            <w:tcW w:type="dxa" w:w="5184"/>
          </w:tcPr>
          <w:p>
            <w:r/>
            <w:r>
              <w:rPr>
                <w:b/>
                <w:sz w:val="19"/>
              </w:rPr>
              <w:t>What it informed</w:t>
            </w:r>
          </w:p>
        </w:tc>
      </w:tr>
      <w:tr>
        <w:tc>
          <w:tcPr>
            <w:tcW w:type="dxa" w:w="3744"/>
          </w:tcPr>
          <w:p>
            <w:r/>
            <w:r>
              <w:rPr>
                <w:sz w:val="19"/>
              </w:rPr>
              <w:t>National Cyber Crime Helpline — 1930</w:t>
            </w:r>
          </w:p>
        </w:tc>
        <w:tc>
          <w:tcPr>
            <w:tcW w:type="dxa" w:w="5184"/>
          </w:tcPr>
          <w:p>
            <w:r/>
            <w:r>
              <w:rPr>
                <w:sz w:val="19"/>
              </w:rPr>
              <w:t>The reporting number we tell users to call</w:t>
            </w:r>
          </w:p>
        </w:tc>
      </w:tr>
      <w:tr>
        <w:tc>
          <w:tcPr>
            <w:tcW w:type="dxa" w:w="3744"/>
          </w:tcPr>
          <w:p>
            <w:r/>
            <w:r>
              <w:rPr>
                <w:sz w:val="19"/>
              </w:rPr>
              <w:t>cybercrime.gov.in (Ministry of Home Affairs)</w:t>
            </w:r>
          </w:p>
        </w:tc>
        <w:tc>
          <w:tcPr>
            <w:tcW w:type="dxa" w:w="5184"/>
          </w:tcPr>
          <w:p>
            <w:r/>
            <w:r>
              <w:rPr>
                <w:sz w:val="19"/>
              </w:rPr>
              <w:t>The official reporting portal we link to</w:t>
            </w:r>
          </w:p>
        </w:tc>
      </w:tr>
      <w:tr>
        <w:tc>
          <w:tcPr>
            <w:tcW w:type="dxa" w:w="3744"/>
          </w:tcPr>
          <w:p>
            <w:r/>
            <w:r>
              <w:rPr>
                <w:sz w:val="19"/>
              </w:rPr>
              <w:t>Publicly reported scam patterns in India</w:t>
            </w:r>
          </w:p>
        </w:tc>
        <w:tc>
          <w:tcPr>
            <w:tcW w:type="dxa" w:w="5184"/>
          </w:tcPr>
          <w:p>
            <w:r/>
            <w:r>
              <w:rPr>
                <w:sz w:val="19"/>
              </w:rPr>
              <w:t>The five named scams: digital arrest, bank OTP theft, KYC expiry, remote access takeover, family emergency</w:t>
            </w:r>
          </w:p>
        </w:tc>
      </w:tr>
      <w:tr>
        <w:tc>
          <w:tcPr>
            <w:tcW w:type="dxa" w:w="3744"/>
          </w:tcPr>
          <w:p>
            <w:r/>
            <w:r>
              <w:rPr>
                <w:sz w:val="19"/>
              </w:rPr>
              <w:t>Common file format specifications</w:t>
            </w:r>
          </w:p>
        </w:tc>
        <w:tc>
          <w:tcPr>
            <w:tcW w:type="dxa" w:w="5184"/>
          </w:tcPr>
          <w:p>
            <w:r/>
            <w:r>
              <w:rPr>
                <w:sz w:val="19"/>
              </w:rPr>
              <w:t>Magic byte signatures used to identify file types (for example 4D 5A for Windows programs, FF D8 FF for JPEG)</w:t>
            </w:r>
          </w:p>
        </w:tc>
      </w:tr>
    </w:tbl>
    <w:p>
      <w:pPr>
        <w:spacing w:after="40"/>
      </w:pPr>
    </w:p>
    <w:p>
      <w:pPr>
        <w:spacing w:before="240" w:after="100"/>
      </w:pPr>
      <w:r>
        <w:rPr>
          <w:b/>
          <w:sz w:val="30"/>
        </w:rPr>
        <w:t>6. What we wrote ourselves</w:t>
      </w:r>
    </w:p>
    <w:p>
      <w:pPr>
        <w:spacing w:after="120"/>
      </w:pPr>
      <w:r>
        <w:rPr>
          <w:i w:val="0"/>
        </w:rPr>
        <w:t>For clarity about what is and is not third-party, the following is entirely our own work:</w:t>
      </w:r>
    </w:p>
    <w:p>
      <w:pPr>
        <w:pStyle w:val="ListBullet"/>
        <w:spacing w:after="60"/>
      </w:pPr>
      <w:r>
        <w:t>The detection engine — all scam-detection logic, scoring and pattern matching (src/engine). It has zero third-party dependencies.</w:t>
      </w:r>
    </w:p>
    <w:p>
      <w:pPr>
        <w:pStyle w:val="ListBullet"/>
        <w:spacing w:after="60"/>
      </w:pPr>
      <w:r>
        <w:t>The risk scoring model, including the decision to combine signals as independent probabilities rather than summing them.</w:t>
      </w:r>
    </w:p>
    <w:p>
      <w:pPr>
        <w:pStyle w:val="ListBullet"/>
        <w:spacing w:after="60"/>
      </w:pPr>
      <w:r>
        <w:t>All interface design, layout and written content across the website, dashboard and extension.</w:t>
      </w:r>
    </w:p>
    <w:p>
      <w:pPr>
        <w:pStyle w:val="ListBullet"/>
        <w:spacing w:after="60"/>
      </w:pPr>
      <w:r>
        <w:t>The browser extension logic — download inspection, chat-page monitoring and the right-click analyser.</w:t>
      </w:r>
    </w:p>
    <w:p>
      <w:pPr>
        <w:pStyle w:val="ListBullet"/>
        <w:spacing w:after="60"/>
      </w:pPr>
      <w:r>
        <w:t>All mock demonstration data.</w:t>
      </w:r>
    </w:p>
    <w:p>
      <w:pPr>
        <w:pStyle w:val="ListBullet"/>
        <w:spacing w:after="60"/>
      </w:pPr>
      <w:r>
        <w:t>All 34 automated tests.</w:t>
      </w:r>
    </w:p>
    <w:p>
      <w:pPr>
        <w:spacing w:before="240" w:after="100"/>
      </w:pPr>
      <w:r>
        <w:rPr>
          <w:b/>
          <w:sz w:val="30"/>
        </w:rPr>
        <w:t>7. No paid, restricted or AI services</w:t>
      </w:r>
    </w:p>
    <w:p>
      <w:pPr>
        <w:spacing w:after="120"/>
      </w:pPr>
      <w:r>
        <w:rPr>
          <w:i w:val="0"/>
        </w:rPr>
        <w:t>This project uses no paid APIs, no AI or machine-learning services, no external servers, and no trackers. All detection runs on the user's own device. Nothing the user types or downloads is ever uploaded. Every library listed above is free and open source under a permissive licence.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