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53" w:rsidRPr="00EB5884" w:rsidRDefault="002A425C" w:rsidP="00EB5884">
      <w:pPr>
        <w:jc w:val="center"/>
        <w:rPr>
          <w:sz w:val="38"/>
        </w:rPr>
      </w:pPr>
      <w:r w:rsidRPr="00EB5884">
        <w:rPr>
          <w:sz w:val="38"/>
        </w:rPr>
        <w:t>Magnetic Monopole Survey Instructions</w:t>
      </w:r>
    </w:p>
    <w:p w:rsidR="002A425C" w:rsidRPr="00EB5884" w:rsidRDefault="002A425C" w:rsidP="00EB5884">
      <w:pPr>
        <w:jc w:val="center"/>
        <w:rPr>
          <w:sz w:val="38"/>
        </w:rPr>
      </w:pPr>
      <w:r w:rsidRPr="00EB5884">
        <w:rPr>
          <w:sz w:val="38"/>
        </w:rPr>
        <w:t>May, 2014</w:t>
      </w:r>
    </w:p>
    <w:p w:rsidR="002A425C" w:rsidRDefault="002A425C" w:rsidP="00EB5884">
      <w:pPr>
        <w:jc w:val="center"/>
        <w:rPr>
          <w:sz w:val="38"/>
        </w:rPr>
      </w:pPr>
      <w:bookmarkStart w:id="0" w:name="_GoBack"/>
      <w:bookmarkEnd w:id="0"/>
      <w:r w:rsidRPr="00EB5884">
        <w:rPr>
          <w:sz w:val="38"/>
        </w:rPr>
        <w:t>RAPID Consortium</w:t>
      </w:r>
    </w:p>
    <w:p w:rsidR="00EB5884" w:rsidRDefault="00EB5884" w:rsidP="00EB5884">
      <w:pPr>
        <w:jc w:val="center"/>
        <w:rPr>
          <w:sz w:val="38"/>
        </w:rPr>
      </w:pPr>
    </w:p>
    <w:p w:rsidR="00EB5884" w:rsidRPr="00EB5884" w:rsidRDefault="00EB5884" w:rsidP="00EB5884">
      <w:pPr>
        <w:jc w:val="center"/>
        <w:rPr>
          <w:sz w:val="38"/>
        </w:rPr>
      </w:pPr>
    </w:p>
    <w:sdt>
      <w:sdtPr>
        <w:id w:val="1485042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B5884" w:rsidRDefault="00EB5884">
          <w:pPr>
            <w:pStyle w:val="TOCHeading"/>
          </w:pPr>
          <w:r>
            <w:t>Table of Contents</w:t>
          </w:r>
        </w:p>
        <w:p w:rsidR="007C037C" w:rsidRDefault="00EB588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49281" w:history="1">
            <w:r w:rsidR="007C037C" w:rsidRPr="00DA30E8">
              <w:rPr>
                <w:rStyle w:val="Hyperlink"/>
                <w:noProof/>
              </w:rPr>
              <w:t>Introduction</w:t>
            </w:r>
            <w:r w:rsidR="007C037C">
              <w:rPr>
                <w:noProof/>
                <w:webHidden/>
              </w:rPr>
              <w:tab/>
            </w:r>
            <w:r w:rsidR="007C037C">
              <w:rPr>
                <w:noProof/>
                <w:webHidden/>
              </w:rPr>
              <w:fldChar w:fldCharType="begin"/>
            </w:r>
            <w:r w:rsidR="007C037C">
              <w:rPr>
                <w:noProof/>
                <w:webHidden/>
              </w:rPr>
              <w:instrText xml:space="preserve"> PAGEREF _Toc388349281 \h </w:instrText>
            </w:r>
            <w:r w:rsidR="007C037C">
              <w:rPr>
                <w:noProof/>
                <w:webHidden/>
              </w:rPr>
            </w:r>
            <w:r w:rsidR="007C037C">
              <w:rPr>
                <w:noProof/>
                <w:webHidden/>
              </w:rPr>
              <w:fldChar w:fldCharType="separate"/>
            </w:r>
            <w:r w:rsidR="007C037C">
              <w:rPr>
                <w:noProof/>
                <w:webHidden/>
              </w:rPr>
              <w:t>2</w:t>
            </w:r>
            <w:r w:rsidR="007C037C"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2" w:history="1">
            <w:r w:rsidRPr="00DA30E8">
              <w:rPr>
                <w:rStyle w:val="Hyperlink"/>
                <w:noProof/>
              </w:rPr>
              <w:t>Configuring 2G SQUID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3" w:history="1">
            <w:r w:rsidRPr="00DA30E8">
              <w:rPr>
                <w:rStyle w:val="Hyperlink"/>
                <w:noProof/>
              </w:rPr>
              <w:t>Tuning I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4" w:history="1">
            <w:r w:rsidRPr="00DA30E8">
              <w:rPr>
                <w:rStyle w:val="Hyperlink"/>
                <w:noProof/>
              </w:rPr>
              <w:t>Fig. 1 – I BIAS Turning Dial + Lock + Indicator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5" w:history="1">
            <w:r w:rsidRPr="00DA30E8">
              <w:rPr>
                <w:rStyle w:val="Hyperlink"/>
                <w:noProof/>
              </w:rPr>
              <w:t>Adjusting Analog Flux level to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6" w:history="1">
            <w:r w:rsidRPr="00DA30E8">
              <w:rPr>
                <w:rStyle w:val="Hyperlink"/>
                <w:noProof/>
              </w:rPr>
              <w:t>Fig. 2 – Adjust Analog Flux 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7" w:history="1">
            <w:r w:rsidRPr="00DA30E8">
              <w:rPr>
                <w:rStyle w:val="Hyperlink"/>
                <w:noProof/>
              </w:rPr>
              <w:t>Reset non-zero Flux-counts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8" w:history="1">
            <w:r w:rsidRPr="00DA30E8">
              <w:rPr>
                <w:rStyle w:val="Hyperlink"/>
                <w:noProof/>
              </w:rPr>
              <w:t>Fig. 3 – Reset Flux Counts to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89" w:history="1">
            <w:r w:rsidRPr="00DA30E8">
              <w:rPr>
                <w:rStyle w:val="Hyperlink"/>
                <w:noProof/>
              </w:rPr>
              <w:t>Start Time-Series Measurements in the Paleomag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90" w:history="1">
            <w:r w:rsidRPr="00DA30E8">
              <w:rPr>
                <w:rStyle w:val="Hyperlink"/>
                <w:noProof/>
              </w:rPr>
              <w:t>Opening VRM Data Collection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91" w:history="1">
            <w:r w:rsidRPr="00DA30E8">
              <w:rPr>
                <w:rStyle w:val="Hyperlink"/>
                <w:noProof/>
              </w:rPr>
              <w:t>Fig. 4 – Opening the VRM Data Collection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92" w:history="1">
            <w:r w:rsidRPr="00DA30E8">
              <w:rPr>
                <w:rStyle w:val="Hyperlink"/>
                <w:noProof/>
              </w:rPr>
              <w:t>Setup VRM Time-Series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93" w:history="1">
            <w:r w:rsidRPr="00DA30E8">
              <w:rPr>
                <w:rStyle w:val="Hyperlink"/>
                <w:noProof/>
              </w:rPr>
              <w:t>File Path Convention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94" w:history="1">
            <w:r w:rsidRPr="00DA30E8">
              <w:rPr>
                <w:rStyle w:val="Hyperlink"/>
                <w:noProof/>
              </w:rPr>
              <w:t>Fig. 5 – VRM Data Collection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C" w:rsidRDefault="007C037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88349295" w:history="1">
            <w:r w:rsidRPr="00DA30E8">
              <w:rPr>
                <w:rStyle w:val="Hyperlink"/>
                <w:noProof/>
              </w:rPr>
              <w:t>Fig. 6 - Running VRM Test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84" w:rsidRDefault="00EB5884">
          <w:r>
            <w:rPr>
              <w:b/>
              <w:bCs/>
              <w:noProof/>
            </w:rPr>
            <w:fldChar w:fldCharType="end"/>
          </w:r>
        </w:p>
      </w:sdtContent>
    </w:sdt>
    <w:p w:rsidR="002A425C" w:rsidRDefault="002A425C"/>
    <w:p w:rsidR="00EB5884" w:rsidRDefault="00EB58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425C" w:rsidRDefault="002A425C" w:rsidP="002A425C">
      <w:pPr>
        <w:pStyle w:val="Heading1"/>
      </w:pPr>
      <w:bookmarkStart w:id="1" w:name="_Toc388349281"/>
      <w:r>
        <w:lastRenderedPageBreak/>
        <w:t>Introduction</w:t>
      </w:r>
      <w:bookmarkEnd w:id="1"/>
    </w:p>
    <w:p w:rsidR="002A425C" w:rsidRDefault="002A425C">
      <w:r>
        <w:t xml:space="preserve">Version 2.3.7 of the RAPID </w:t>
      </w:r>
      <w:proofErr w:type="spellStart"/>
      <w:r>
        <w:t>Paleomag</w:t>
      </w:r>
      <w:proofErr w:type="spellEnd"/>
      <w:r>
        <w:t xml:space="preserve"> software and upwards can be used to make a time-series of measurements from your 2G SQUID boxes and save those time VS measurement points to a CSV text file.  This time-series tool is simple to use and can be used to do a coordinated Magnetic Monopole Survey across the many RAPID </w:t>
      </w:r>
      <w:proofErr w:type="spellStart"/>
      <w:r>
        <w:t>paleomagnetic</w:t>
      </w:r>
      <w:proofErr w:type="spellEnd"/>
      <w:r>
        <w:t xml:space="preserve"> laboratories distributed globally.</w:t>
      </w:r>
    </w:p>
    <w:p w:rsidR="002A425C" w:rsidRDefault="002A425C">
      <w:r>
        <w:t>The setup process for the time-series measurements has two parts:</w:t>
      </w:r>
    </w:p>
    <w:p w:rsidR="002A425C" w:rsidRDefault="002A425C" w:rsidP="002A425C">
      <w:pPr>
        <w:pStyle w:val="ListParagraph"/>
        <w:numPr>
          <w:ilvl w:val="0"/>
          <w:numId w:val="4"/>
        </w:numPr>
      </w:pPr>
      <w:r>
        <w:t>Configuring and resetting your 2G SQUID boxes</w:t>
      </w:r>
    </w:p>
    <w:p w:rsidR="002A425C" w:rsidRDefault="002A425C" w:rsidP="002A425C">
      <w:pPr>
        <w:pStyle w:val="ListParagraph"/>
        <w:numPr>
          <w:ilvl w:val="0"/>
          <w:numId w:val="4"/>
        </w:numPr>
      </w:pPr>
      <w:r>
        <w:t xml:space="preserve">Starting the time-series within the </w:t>
      </w:r>
      <w:proofErr w:type="spellStart"/>
      <w:r>
        <w:t>Paleomag</w:t>
      </w:r>
      <w:proofErr w:type="spellEnd"/>
      <w:r>
        <w:t xml:space="preserve"> software</w:t>
      </w:r>
    </w:p>
    <w:p w:rsidR="002A425C" w:rsidRDefault="002A425C" w:rsidP="002A425C"/>
    <w:p w:rsidR="002A425C" w:rsidRDefault="002A425C" w:rsidP="002A425C">
      <w:pPr>
        <w:pStyle w:val="Heading1"/>
      </w:pPr>
      <w:bookmarkStart w:id="2" w:name="_Toc388349282"/>
      <w:r>
        <w:t>Configuring 2G SQUID Boxes</w:t>
      </w:r>
      <w:bookmarkEnd w:id="2"/>
    </w:p>
    <w:p w:rsidR="002A425C" w:rsidRDefault="002A425C" w:rsidP="002A425C"/>
    <w:p w:rsidR="002A425C" w:rsidRDefault="002A425C" w:rsidP="002A425C">
      <w:pPr>
        <w:pStyle w:val="Heading2"/>
      </w:pPr>
      <w:bookmarkStart w:id="3" w:name="_Toc388349283"/>
      <w:r>
        <w:t>Tuning I Bias</w:t>
      </w:r>
      <w:bookmarkEnd w:id="3"/>
    </w:p>
    <w:p w:rsidR="002A425C" w:rsidRDefault="002A425C" w:rsidP="002A425C">
      <w:pPr>
        <w:pStyle w:val="ListParagraph"/>
        <w:numPr>
          <w:ilvl w:val="0"/>
          <w:numId w:val="5"/>
        </w:numPr>
      </w:pPr>
      <w:r>
        <w:t>Change the SQUID box from Run Mode to Setup Mode</w:t>
      </w:r>
    </w:p>
    <w:p w:rsidR="002A425C" w:rsidRDefault="002A425C" w:rsidP="002A425C">
      <w:pPr>
        <w:pStyle w:val="ListParagraph"/>
        <w:numPr>
          <w:ilvl w:val="0"/>
          <w:numId w:val="5"/>
        </w:numPr>
      </w:pPr>
      <w:r>
        <w:t>Unlock the I BIAS turn-dial</w:t>
      </w:r>
    </w:p>
    <w:p w:rsidR="002A425C" w:rsidRDefault="002A425C" w:rsidP="002A425C">
      <w:pPr>
        <w:pStyle w:val="ListParagraph"/>
        <w:numPr>
          <w:ilvl w:val="0"/>
          <w:numId w:val="5"/>
        </w:numPr>
      </w:pPr>
      <w:r>
        <w:t xml:space="preserve">Turn the I BIAS turn-dial back-and forth to find the dial position where the </w:t>
      </w:r>
      <w:proofErr w:type="gramStart"/>
      <w:r>
        <w:t>number of red bars in the bar-indicator are</w:t>
      </w:r>
      <w:proofErr w:type="gramEnd"/>
      <w:r>
        <w:t xml:space="preserve"> at their maximum level.</w:t>
      </w:r>
    </w:p>
    <w:p w:rsidR="002A425C" w:rsidRDefault="002A425C" w:rsidP="002A425C">
      <w:pPr>
        <w:pStyle w:val="ListParagraph"/>
        <w:numPr>
          <w:ilvl w:val="0"/>
          <w:numId w:val="5"/>
        </w:numPr>
      </w:pPr>
      <w:r>
        <w:t>Lock the I BIAS turn-dial</w:t>
      </w:r>
    </w:p>
    <w:p w:rsidR="002A425C" w:rsidRDefault="002A425C" w:rsidP="002A425C">
      <w:pPr>
        <w:pStyle w:val="ListParagraph"/>
        <w:numPr>
          <w:ilvl w:val="0"/>
          <w:numId w:val="5"/>
        </w:numPr>
      </w:pPr>
      <w:r>
        <w:t>Change the SQUID Box from Setup Mode back to Run Mode</w:t>
      </w:r>
    </w:p>
    <w:p w:rsidR="002A425C" w:rsidRDefault="002A425C" w:rsidP="00EB5884">
      <w:pPr>
        <w:pStyle w:val="Heading3"/>
      </w:pPr>
      <w:bookmarkStart w:id="4" w:name="_Toc388349284"/>
      <w:r>
        <w:t>Fig. 1 – I BIAS Turning Dial + Lock + Indicator Bar</w:t>
      </w:r>
      <w:bookmarkEnd w:id="4"/>
    </w:p>
    <w:p w:rsidR="00EB5884" w:rsidRDefault="00EB5884" w:rsidP="002A425C">
      <w:r>
        <w:rPr>
          <w:noProof/>
        </w:rPr>
        <w:drawing>
          <wp:inline distT="0" distB="0" distL="0" distR="0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 I -Bi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5C" w:rsidRDefault="002A425C" w:rsidP="002A425C"/>
    <w:p w:rsidR="002A425C" w:rsidRDefault="002A425C" w:rsidP="002A425C">
      <w:pPr>
        <w:pStyle w:val="Heading2"/>
      </w:pPr>
      <w:bookmarkStart w:id="5" w:name="_Toc388349285"/>
      <w:r>
        <w:t>Adjusting Analog Flux level to zero</w:t>
      </w:r>
      <w:bookmarkEnd w:id="5"/>
    </w:p>
    <w:p w:rsidR="002A425C" w:rsidRDefault="002A425C" w:rsidP="002A425C">
      <w:pPr>
        <w:pStyle w:val="ListParagraph"/>
        <w:numPr>
          <w:ilvl w:val="0"/>
          <w:numId w:val="6"/>
        </w:numPr>
      </w:pPr>
      <w:r>
        <w:t>In Run Mode, set the SQUID Flux level display to Analog Mode.</w:t>
      </w:r>
    </w:p>
    <w:p w:rsidR="00EB5884" w:rsidRDefault="002A425C" w:rsidP="00EB5884">
      <w:pPr>
        <w:pStyle w:val="ListParagraph"/>
        <w:numPr>
          <w:ilvl w:val="0"/>
          <w:numId w:val="6"/>
        </w:numPr>
      </w:pPr>
      <w:r>
        <w:t>In Run Mode, twist the OFFSET turn-dial until the digital value shown in the SQUID flux level display is as close to zero as you can go (zero plus or minus 0.00010 or so).</w:t>
      </w:r>
    </w:p>
    <w:p w:rsidR="00EB5884" w:rsidRDefault="00EB5884" w:rsidP="00EB5884">
      <w:pPr>
        <w:pStyle w:val="Heading3"/>
      </w:pPr>
      <w:bookmarkStart w:id="6" w:name="_Toc388349286"/>
      <w:r>
        <w:lastRenderedPageBreak/>
        <w:t>Fig. 2 – Adjust Analog Flux Offset</w:t>
      </w:r>
      <w:bookmarkEnd w:id="6"/>
    </w:p>
    <w:p w:rsidR="00EB5884" w:rsidRDefault="00EB5884" w:rsidP="00EB5884">
      <w:r>
        <w:rPr>
          <w:noProof/>
        </w:rPr>
        <w:drawing>
          <wp:inline distT="0" distB="0" distL="0" distR="0">
            <wp:extent cx="4842662" cy="26112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 Analog Flux Offset to 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851" cy="26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84" w:rsidRDefault="00EB5884" w:rsidP="002A425C">
      <w:pPr>
        <w:pStyle w:val="Heading2"/>
      </w:pPr>
    </w:p>
    <w:p w:rsidR="002A425C" w:rsidRDefault="002A425C" w:rsidP="002A425C">
      <w:pPr>
        <w:pStyle w:val="Heading2"/>
      </w:pPr>
      <w:bookmarkStart w:id="7" w:name="_Toc388349287"/>
      <w:r>
        <w:t>Reset non-zero Flux-counts</w:t>
      </w:r>
      <w:bookmarkEnd w:id="7"/>
      <w:r>
        <w:t xml:space="preserve"> </w:t>
      </w:r>
    </w:p>
    <w:p w:rsidR="002A425C" w:rsidRDefault="002A425C" w:rsidP="002A425C">
      <w:pPr>
        <w:pStyle w:val="ListParagraph"/>
        <w:numPr>
          <w:ilvl w:val="0"/>
          <w:numId w:val="7"/>
        </w:numPr>
      </w:pPr>
      <w:r>
        <w:t>In Run Mode, set the SQUID Flux level display to Count Mode.</w:t>
      </w:r>
    </w:p>
    <w:p w:rsidR="002A425C" w:rsidRDefault="002A425C" w:rsidP="002A425C">
      <w:pPr>
        <w:pStyle w:val="ListParagraph"/>
        <w:numPr>
          <w:ilvl w:val="0"/>
          <w:numId w:val="7"/>
        </w:numPr>
      </w:pPr>
      <w:r>
        <w:t>Press the “Reset” push-button and verify that the number of Counts displayed equals zero.</w:t>
      </w:r>
    </w:p>
    <w:p w:rsidR="002A425C" w:rsidRDefault="002A425C" w:rsidP="002A425C">
      <w:pPr>
        <w:pStyle w:val="ListParagraph"/>
        <w:numPr>
          <w:ilvl w:val="0"/>
          <w:numId w:val="7"/>
        </w:numPr>
      </w:pPr>
      <w:r>
        <w:t>Change the SQUID flux level display back to Analog Mode.</w:t>
      </w:r>
    </w:p>
    <w:p w:rsidR="00EB5884" w:rsidRDefault="00EB5884" w:rsidP="00EB5884">
      <w:pPr>
        <w:pStyle w:val="Heading3"/>
      </w:pPr>
      <w:bookmarkStart w:id="8" w:name="_Toc388349288"/>
      <w:r>
        <w:t>Fig. 3 – Reset Flux Counts to Zero</w:t>
      </w:r>
      <w:bookmarkEnd w:id="8"/>
    </w:p>
    <w:p w:rsidR="00EB5884" w:rsidRDefault="00EB5884" w:rsidP="00EB5884">
      <w:r>
        <w:rPr>
          <w:noProof/>
        </w:rPr>
        <w:drawing>
          <wp:inline distT="0" distB="0" distL="0" distR="0">
            <wp:extent cx="4769510" cy="309814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 Flux Cou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03" cy="30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84" w:rsidRDefault="00EB5884">
      <w:r>
        <w:br w:type="page"/>
      </w:r>
    </w:p>
    <w:p w:rsidR="002A425C" w:rsidRDefault="002A425C" w:rsidP="002A425C">
      <w:pPr>
        <w:pStyle w:val="Heading1"/>
      </w:pPr>
      <w:bookmarkStart w:id="9" w:name="_Toc388349289"/>
      <w:r>
        <w:lastRenderedPageBreak/>
        <w:t xml:space="preserve">Start Time-Series Measurements in the </w:t>
      </w:r>
      <w:proofErr w:type="spellStart"/>
      <w:r>
        <w:t>Paleomag</w:t>
      </w:r>
      <w:proofErr w:type="spellEnd"/>
      <w:r>
        <w:t xml:space="preserve"> Program</w:t>
      </w:r>
      <w:bookmarkEnd w:id="9"/>
    </w:p>
    <w:p w:rsidR="002A425C" w:rsidRDefault="002A425C" w:rsidP="002A425C"/>
    <w:p w:rsidR="002A425C" w:rsidRDefault="002A425C" w:rsidP="002A425C">
      <w:r>
        <w:t xml:space="preserve">Open the normal version of the </w:t>
      </w:r>
      <w:proofErr w:type="spellStart"/>
      <w:r>
        <w:t>Paleomag</w:t>
      </w:r>
      <w:proofErr w:type="spellEnd"/>
      <w:r>
        <w:t xml:space="preserve"> program that you use on your computer.   Any compiled or </w:t>
      </w:r>
      <w:proofErr w:type="spellStart"/>
      <w:r>
        <w:t>uncompiled</w:t>
      </w:r>
      <w:proofErr w:type="spellEnd"/>
      <w:r>
        <w:t xml:space="preserve"> version of the code written during or after version 2.3.7 (2008) will have the needed VRM Data Collection tool to doing a SQUID measurement time-series.</w:t>
      </w:r>
    </w:p>
    <w:p w:rsidR="002A425C" w:rsidRDefault="002A425C" w:rsidP="002A425C">
      <w:r>
        <w:t xml:space="preserve">Once you’ve started the </w:t>
      </w:r>
      <w:proofErr w:type="spellStart"/>
      <w:r>
        <w:t>Paleomag</w:t>
      </w:r>
      <w:proofErr w:type="spellEnd"/>
      <w:r>
        <w:t xml:space="preserve"> program, login.  The normal initialization process will run for your system (usually consisting of a home-to-top for the quartz glass tube and possibly also an IRM discharge).</w:t>
      </w:r>
    </w:p>
    <w:p w:rsidR="002A425C" w:rsidRDefault="002A425C" w:rsidP="002A425C">
      <w:pPr>
        <w:pStyle w:val="Heading2"/>
      </w:pPr>
      <w:bookmarkStart w:id="10" w:name="_Toc388349290"/>
      <w:r>
        <w:t>Opening VRM Data Collection Window</w:t>
      </w:r>
      <w:bookmarkEnd w:id="10"/>
    </w:p>
    <w:p w:rsidR="002A425C" w:rsidRPr="002A425C" w:rsidRDefault="002A425C" w:rsidP="002A425C">
      <w:r>
        <w:t>Then, open the Diagnostics-&gt;VRM Data Collection window.  (See Figure Below)</w:t>
      </w:r>
    </w:p>
    <w:p w:rsidR="002A425C" w:rsidRPr="002A425C" w:rsidRDefault="002A425C" w:rsidP="002A425C">
      <w:pPr>
        <w:pStyle w:val="Heading3"/>
      </w:pPr>
      <w:bookmarkStart w:id="11" w:name="_Toc388349291"/>
      <w:r>
        <w:t>Fig. 4 – Opening the VRM Data Collection Window</w:t>
      </w:r>
      <w:bookmarkEnd w:id="11"/>
    </w:p>
    <w:p w:rsidR="002A425C" w:rsidRDefault="002A425C">
      <w:r>
        <w:rPr>
          <w:noProof/>
        </w:rPr>
        <w:drawing>
          <wp:inline distT="0" distB="0" distL="0" distR="0">
            <wp:extent cx="5939790" cy="41840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C" w:rsidRDefault="002A425C" w:rsidP="002A425C">
      <w:pPr>
        <w:pStyle w:val="Heading2"/>
      </w:pPr>
      <w:bookmarkStart w:id="12" w:name="_Toc388349292"/>
      <w:r>
        <w:t>Setup VRM Time-Series</w:t>
      </w:r>
      <w:bookmarkEnd w:id="12"/>
    </w:p>
    <w:p w:rsidR="002A425C" w:rsidRDefault="002A425C">
      <w:r>
        <w:t>Once the VRM Data Collection (a.k.a. VRM Decay Test window) has opened, make the following selections:</w:t>
      </w:r>
    </w:p>
    <w:p w:rsidR="002A425C" w:rsidRDefault="002A425C">
      <w:proofErr w:type="gramStart"/>
      <w:r>
        <w:t xml:space="preserve">Measure Every </w:t>
      </w:r>
      <w:r>
        <w:rPr>
          <w:u w:val="single"/>
        </w:rPr>
        <w:t>10</w:t>
      </w:r>
      <w:r>
        <w:t xml:space="preserve"> seconds.</w:t>
      </w:r>
      <w:proofErr w:type="gramEnd"/>
    </w:p>
    <w:p w:rsidR="002A425C" w:rsidRDefault="002A425C">
      <w:r>
        <w:lastRenderedPageBreak/>
        <w:t xml:space="preserve">Select “Linear” from the drop-down list for the spacing between each measurement.  </w:t>
      </w:r>
    </w:p>
    <w:p w:rsidR="002A425C" w:rsidRDefault="002A425C"/>
    <w:p w:rsidR="002A425C" w:rsidRDefault="002A425C">
      <w:r>
        <w:t>In the write to file: field, enter in the file path for the file to which you wish to save the SQUID data Time-series.  I STRONGLY suggest saving the file directly to your C:\ drive.  It makes it easy to locate the file once you end the Time-Series measurements.</w:t>
      </w:r>
    </w:p>
    <w:p w:rsidR="002A425C" w:rsidRDefault="002A425C" w:rsidP="002A425C">
      <w:pPr>
        <w:pStyle w:val="Heading3"/>
      </w:pPr>
      <w:bookmarkStart w:id="13" w:name="_Toc388349293"/>
      <w:r>
        <w:t>File Path Convention to Use</w:t>
      </w:r>
      <w:bookmarkEnd w:id="13"/>
    </w:p>
    <w:p w:rsidR="002A425C" w:rsidRDefault="002A425C">
      <w:r>
        <w:t>C:\[The name of your University of Institution</w:t>
      </w:r>
      <w:proofErr w:type="gramStart"/>
      <w:r>
        <w:t>]_</w:t>
      </w:r>
      <w:proofErr w:type="gramEnd"/>
      <w:r>
        <w:t>[The name of your magnetometer]_SQUIDs_[today’s date and time expressed in the format YYYYMMDD_HHMM, with the hours in 24-hour format].csv</w:t>
      </w:r>
    </w:p>
    <w:p w:rsidR="002A425C" w:rsidRDefault="002A425C">
      <w:r>
        <w:t xml:space="preserve">For example, for the </w:t>
      </w:r>
      <w:proofErr w:type="spellStart"/>
      <w:r>
        <w:t>Lowenstam</w:t>
      </w:r>
      <w:proofErr w:type="spellEnd"/>
      <w:r>
        <w:t xml:space="preserve"> system at Caltech, on May 20, 2014 at 9:14 am, the file path would be:</w:t>
      </w:r>
    </w:p>
    <w:p w:rsidR="002A425C" w:rsidRDefault="002A425C">
      <w:r>
        <w:t>C:\Caltech_Lowenstam_SQUIDs_20140520_0914.csv</w:t>
      </w:r>
    </w:p>
    <w:p w:rsidR="002A425C" w:rsidRDefault="002A425C"/>
    <w:p w:rsidR="002A425C" w:rsidRDefault="002A425C">
      <w:r>
        <w:t xml:space="preserve">For example, the </w:t>
      </w:r>
      <w:proofErr w:type="spellStart"/>
      <w:r>
        <w:t>Hargraves</w:t>
      </w:r>
      <w:proofErr w:type="spellEnd"/>
      <w:r>
        <w:t xml:space="preserve"> system at Berkeley, on May 21, 2014 at 3:45 pm, the file path would be:</w:t>
      </w:r>
    </w:p>
    <w:p w:rsidR="002A425C" w:rsidRDefault="002A425C">
      <w:r>
        <w:t>C:\Berkeley_Hargraves_SQUIDS_20140521_1545.csv</w:t>
      </w:r>
    </w:p>
    <w:p w:rsidR="002A425C" w:rsidRDefault="002A425C"/>
    <w:p w:rsidR="002A425C" w:rsidRDefault="002A425C">
      <w:r>
        <w:t>If you have questions about what file-path to use for your system, please send the questions via email to:</w:t>
      </w:r>
    </w:p>
    <w:p w:rsidR="002A425C" w:rsidRDefault="002A425C">
      <w:hyperlink r:id="rId13" w:history="1">
        <w:r w:rsidRPr="00B326C7">
          <w:rPr>
            <w:rStyle w:val="Hyperlink"/>
          </w:rPr>
          <w:t>ihilburn@caltech.edu</w:t>
        </w:r>
      </w:hyperlink>
      <w:r>
        <w:t xml:space="preserve"> and cc </w:t>
      </w:r>
      <w:hyperlink r:id="rId14" w:history="1">
        <w:r w:rsidRPr="00B326C7">
          <w:rPr>
            <w:rStyle w:val="Hyperlink"/>
          </w:rPr>
          <w:t>kirschvink@caltech.edu</w:t>
        </w:r>
      </w:hyperlink>
    </w:p>
    <w:p w:rsidR="002A425C" w:rsidRDefault="002A425C" w:rsidP="002A425C">
      <w:pPr>
        <w:pStyle w:val="Heading3"/>
      </w:pPr>
      <w:bookmarkStart w:id="14" w:name="_Toc388349294"/>
      <w:r>
        <w:t>Fig. 5 – VRM Data Collection Window</w:t>
      </w:r>
      <w:bookmarkEnd w:id="14"/>
    </w:p>
    <w:p w:rsidR="002A425C" w:rsidRDefault="002A425C">
      <w:r>
        <w:rPr>
          <w:noProof/>
        </w:rPr>
        <w:drawing>
          <wp:inline distT="0" distB="0" distL="0" distR="0">
            <wp:extent cx="3123285" cy="2260397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84" w:rsidRDefault="00EB5884"/>
    <w:p w:rsidR="00EB5884" w:rsidRDefault="00EB5884">
      <w:r>
        <w:lastRenderedPageBreak/>
        <w:t>Finally, click the Start button to start the Time-Series measurements.  Within ~10 seconds, the first measurement should be displayed in the VRM Decay Test window.  When you want to end the Time-Series, click the Stop Button</w:t>
      </w:r>
    </w:p>
    <w:p w:rsidR="00EB5884" w:rsidRDefault="009F7015" w:rsidP="00EB5884">
      <w:pPr>
        <w:pStyle w:val="Heading3"/>
      </w:pPr>
      <w:bookmarkStart w:id="15" w:name="_Toc388349295"/>
      <w:r>
        <w:t>Fig. 6 -</w:t>
      </w:r>
      <w:r w:rsidR="00EB5884">
        <w:t xml:space="preserve"> Running VRM Test – Window</w:t>
      </w:r>
      <w:bookmarkEnd w:id="15"/>
    </w:p>
    <w:p w:rsidR="00EB5884" w:rsidRDefault="00EB5884">
      <w:r>
        <w:rPr>
          <w:noProof/>
        </w:rPr>
        <w:drawing>
          <wp:inline distT="0" distB="0" distL="0" distR="0">
            <wp:extent cx="30765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 VRM Test wind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58B" w:rsidRDefault="0029058B" w:rsidP="00EB5884">
      <w:pPr>
        <w:spacing w:after="0" w:line="240" w:lineRule="auto"/>
      </w:pPr>
      <w:r>
        <w:separator/>
      </w:r>
    </w:p>
  </w:endnote>
  <w:endnote w:type="continuationSeparator" w:id="0">
    <w:p w:rsidR="0029058B" w:rsidRDefault="0029058B" w:rsidP="00EB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58B" w:rsidRDefault="0029058B" w:rsidP="00EB5884">
      <w:pPr>
        <w:spacing w:after="0" w:line="240" w:lineRule="auto"/>
      </w:pPr>
      <w:r>
        <w:separator/>
      </w:r>
    </w:p>
  </w:footnote>
  <w:footnote w:type="continuationSeparator" w:id="0">
    <w:p w:rsidR="0029058B" w:rsidRDefault="0029058B" w:rsidP="00EB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EA1"/>
    <w:multiLevelType w:val="hybridMultilevel"/>
    <w:tmpl w:val="72AA3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9346D"/>
    <w:multiLevelType w:val="hybridMultilevel"/>
    <w:tmpl w:val="4DBCA3F2"/>
    <w:lvl w:ilvl="0" w:tplc="4D0EA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521C5B"/>
    <w:multiLevelType w:val="hybridMultilevel"/>
    <w:tmpl w:val="F9A8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421F0"/>
    <w:multiLevelType w:val="hybridMultilevel"/>
    <w:tmpl w:val="B8C6F3D6"/>
    <w:lvl w:ilvl="0" w:tplc="87AAE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BD2DB0"/>
    <w:multiLevelType w:val="hybridMultilevel"/>
    <w:tmpl w:val="982EA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62248"/>
    <w:multiLevelType w:val="hybridMultilevel"/>
    <w:tmpl w:val="088AE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73EDF"/>
    <w:multiLevelType w:val="hybridMultilevel"/>
    <w:tmpl w:val="5D4A3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00991"/>
    <w:multiLevelType w:val="hybridMultilevel"/>
    <w:tmpl w:val="9FEA5A02"/>
    <w:lvl w:ilvl="0" w:tplc="ACF60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5C"/>
    <w:rsid w:val="0029058B"/>
    <w:rsid w:val="002A425C"/>
    <w:rsid w:val="007C037C"/>
    <w:rsid w:val="008E7953"/>
    <w:rsid w:val="009F7015"/>
    <w:rsid w:val="00E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2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4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A42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884"/>
  </w:style>
  <w:style w:type="paragraph" w:styleId="Footer">
    <w:name w:val="footer"/>
    <w:basedOn w:val="Normal"/>
    <w:link w:val="FooterChar"/>
    <w:uiPriority w:val="99"/>
    <w:unhideWhenUsed/>
    <w:rsid w:val="00EB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8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88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588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88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B5884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2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4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A42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884"/>
  </w:style>
  <w:style w:type="paragraph" w:styleId="Footer">
    <w:name w:val="footer"/>
    <w:basedOn w:val="Normal"/>
    <w:link w:val="FooterChar"/>
    <w:uiPriority w:val="99"/>
    <w:unhideWhenUsed/>
    <w:rsid w:val="00EB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8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88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588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88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B5884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hilburn@caltech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mailto:kirschvink@caltech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A3"/>
    <w:rsid w:val="0013668C"/>
    <w:rsid w:val="003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6C74354C2416F8CE7C1974FB1FEAD">
    <w:name w:val="44A6C74354C2416F8CE7C1974FB1FEAD"/>
    <w:rsid w:val="003B13A3"/>
  </w:style>
  <w:style w:type="paragraph" w:customStyle="1" w:styleId="132C6C0131704EAF8C37EDA5BE60FEC2">
    <w:name w:val="132C6C0131704EAF8C37EDA5BE60FEC2"/>
    <w:rsid w:val="003B13A3"/>
  </w:style>
  <w:style w:type="paragraph" w:customStyle="1" w:styleId="3FFDFA6220ED46A6B0A2180B470EB1EE">
    <w:name w:val="3FFDFA6220ED46A6B0A2180B470EB1EE"/>
    <w:rsid w:val="003B13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6C74354C2416F8CE7C1974FB1FEAD">
    <w:name w:val="44A6C74354C2416F8CE7C1974FB1FEAD"/>
    <w:rsid w:val="003B13A3"/>
  </w:style>
  <w:style w:type="paragraph" w:customStyle="1" w:styleId="132C6C0131704EAF8C37EDA5BE60FEC2">
    <w:name w:val="132C6C0131704EAF8C37EDA5BE60FEC2"/>
    <w:rsid w:val="003B13A3"/>
  </w:style>
  <w:style w:type="paragraph" w:customStyle="1" w:styleId="3FFDFA6220ED46A6B0A2180B470EB1EE">
    <w:name w:val="3FFDFA6220ED46A6B0A2180B470EB1EE"/>
    <w:rsid w:val="003B1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FA0B5-3A61-4678-B867-0420D722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isaach</dc:creator>
  <cp:lastModifiedBy>isaach</cp:lastModifiedBy>
  <cp:revision>4</cp:revision>
  <dcterms:created xsi:type="dcterms:W3CDTF">2014-05-20T17:44:00Z</dcterms:created>
  <dcterms:modified xsi:type="dcterms:W3CDTF">2014-05-20T18:39:00Z</dcterms:modified>
</cp:coreProperties>
</file>