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1A2E"/>
          <w:sz w:val="30"/>
          <w:szCs w:val="30"/>
        </w:rPr>
        <w:t xml:space="preserve">Certus IT Solutions Pvt. Ltd.</w:t>
      </w:r>
    </w:p>
    <w:p>
      <w:pPr>
        <w:spacing w:after="80"/>
      </w:pPr>
      <w:r>
        <w:rPr>
          <w:color w:val="555555"/>
          <w:sz w:val="22"/>
          <w:szCs w:val="22"/>
        </w:rPr>
        <w:t xml:space="preserve">ISMS Context, Scope &amp; Interested Parties</w:t>
      </w:r>
    </w:p>
    <w:p>
      <w:pPr>
        <w:spacing w:after="200"/>
      </w:pPr>
      <w:r>
        <w:rPr>
          <w:i/>
          <w:iCs/>
          <w:color w:val="555555"/>
          <w:sz w:val="16"/>
          <w:szCs w:val="16"/>
        </w:rPr>
        <w:t xml:space="preserve">ISO/IEC 27001:2022 — Clauses 4.1, 4.2, 4.3 | Prepared by: Swapnil Shingte, ISO 27001:2022 Lead Auditor (CQI-IRCA) | Version 1.0 | July 2026</w:t>
      </w:r>
    </w:p>
    <w:p>
      <w:pPr>
        <w:spacing w:after="200"/>
      </w:pPr>
      <w:r>
        <w:rPr>
          <w:i/>
          <w:iCs/>
          <w:color w:val="888888"/>
          <w:sz w:val="16"/>
          <w:szCs w:val="16"/>
        </w:rPr>
        <w:t xml:space="preserve">Note: Certus IT Solutions Pvt. Ltd. is a fictional company. This document is a portfolio artefact built to demonstrate practical application of ISO/IEC 27001:2022 requirements.</w:t>
      </w:r>
    </w:p>
    <w:p>
      <w:pPr>
        <w:pBdr>
          <w:bottom w:val="single" w:color="1A1A2E" w:sz="8" w:space="4"/>
        </w:pBdr>
        <w:spacing w:after="120" w:before="260"/>
      </w:pPr>
      <w:r>
        <w:rPr>
          <w:b/>
          <w:bCs/>
          <w:color w:val="1A1A2E"/>
          <w:sz w:val="26"/>
          <w:szCs w:val="26"/>
        </w:rPr>
        <w:t xml:space="preserve">1. Organisation Overview</w:t>
      </w:r>
    </w:p>
    <w:p>
      <w:pPr>
        <w:spacing w:after="120"/>
      </w:pPr>
      <w:r>
        <w:rPr>
          <w:sz w:val="20"/>
          <w:szCs w:val="20"/>
        </w:rPr>
        <w:t xml:space="preserve">Certus IT Solutions Pvt. Ltd. is a Mumbai-based IT managed services and software development company with approximately 150 employees. The organisation provides SaaS application development, IT infrastructure management, and endpoint security services to mid-market clients across the BFSI, healthcare, and retail sectors. Certus operates a hybrid workforce model and hosts production and client-facing infrastructure on AWS and Microsoft Azure, alongside a legacy on-premises environment at its Mumbai head office that is in the process of being migrated to the cloud.</w:t>
      </w:r>
    </w:p>
    <w:p>
      <w:pPr>
        <w:pBdr>
          <w:bottom w:val="single" w:color="1A1A2E" w:sz="8" w:space="4"/>
        </w:pBdr>
        <w:spacing w:after="120" w:before="260"/>
      </w:pPr>
      <w:r>
        <w:rPr>
          <w:b/>
          <w:bCs/>
          <w:color w:val="1A1A2E"/>
          <w:sz w:val="26"/>
          <w:szCs w:val="26"/>
        </w:rPr>
        <w:t xml:space="preserve">2. Context of the Organisation (Clause 4.1)</w:t>
      </w:r>
    </w:p>
    <w:p>
      <w:pPr>
        <w:spacing w:after="120"/>
      </w:pPr>
      <w:r>
        <w:rPr>
          <w:sz w:val="20"/>
          <w:szCs w:val="20"/>
        </w:rPr>
        <w:t xml:space="preserve">The organisation has identified the following internal and external issues relevant to its purpose and affecting its ability to achieve the intended outcomes of its ISMS:</w:t>
      </w:r>
    </w:p>
    <w:p>
      <w:pPr>
        <w:spacing w:after="90" w:before="220"/>
      </w:pPr>
      <w:r>
        <w:rPr>
          <w:b/>
          <w:bCs/>
          <w:color w:val="4A235A"/>
          <w:sz w:val="21"/>
          <w:szCs w:val="21"/>
        </w:rPr>
        <w:t xml:space="preserve">2.1 Internal Issues</w:t>
      </w:r>
    </w:p>
    <w:p>
      <w:pPr>
        <w:pStyle w:val="ListParagraph"/>
        <w:numPr>
          <w:ilvl w:val="0"/>
          <w:numId w:val="1"/>
        </w:numPr>
        <w:spacing w:after="70"/>
      </w:pPr>
      <w:r>
        <w:rPr>
          <w:sz w:val="20"/>
          <w:szCs w:val="20"/>
        </w:rPr>
        <w:t xml:space="preserve">Rapid growth — headcount increased from approximately 95 to 150 employees over the past 18 months, straining existing onboarding, access provisioning, and awareness training processes.</w:t>
      </w:r>
    </w:p>
    <w:p>
      <w:pPr>
        <w:pStyle w:val="ListParagraph"/>
        <w:numPr>
          <w:ilvl w:val="0"/>
          <w:numId w:val="1"/>
        </w:numPr>
        <w:spacing w:after="70"/>
      </w:pPr>
      <w:r>
        <w:rPr>
          <w:sz w:val="20"/>
          <w:szCs w:val="20"/>
        </w:rPr>
        <w:t xml:space="preserve">Hybrid workforce — approximately 60% of staff work in a hybrid arrangement, increasing reliance on secure remote access and endpoint controls outside the traditional office perimeter.</w:t>
      </w:r>
    </w:p>
    <w:p>
      <w:pPr>
        <w:pStyle w:val="ListParagraph"/>
        <w:numPr>
          <w:ilvl w:val="0"/>
          <w:numId w:val="1"/>
        </w:numPr>
        <w:spacing w:after="70"/>
      </w:pPr>
      <w:r>
        <w:rPr>
          <w:sz w:val="20"/>
          <w:szCs w:val="20"/>
        </w:rPr>
        <w:t xml:space="preserve">Infrastructure transition — legacy on-premises servers are being progressively migrated to AWS and Azure, creating a mixed environment that requires consistent control application across both.</w:t>
      </w:r>
    </w:p>
    <w:p>
      <w:pPr>
        <w:pStyle w:val="ListParagraph"/>
        <w:numPr>
          <w:ilvl w:val="0"/>
          <w:numId w:val="1"/>
        </w:numPr>
        <w:spacing w:after="70"/>
      </w:pPr>
      <w:r>
        <w:rPr>
          <w:sz w:val="20"/>
          <w:szCs w:val="20"/>
        </w:rPr>
        <w:t xml:space="preserve">Elevated technical staff turnover in the engineering function over the past 12 months, increasing reliance on documented procedures and consistent onboarding/offboarding controls.</w:t>
      </w:r>
    </w:p>
    <w:p>
      <w:pPr>
        <w:spacing w:after="90" w:before="220"/>
      </w:pPr>
      <w:r>
        <w:rPr>
          <w:b/>
          <w:bCs/>
          <w:color w:val="4A235A"/>
          <w:sz w:val="21"/>
          <w:szCs w:val="21"/>
        </w:rPr>
        <w:t xml:space="preserve">2.2 External Issues</w:t>
      </w:r>
    </w:p>
    <w:p>
      <w:pPr>
        <w:pStyle w:val="ListParagraph"/>
        <w:numPr>
          <w:ilvl w:val="0"/>
          <w:numId w:val="1"/>
        </w:numPr>
        <w:spacing w:after="70"/>
      </w:pPr>
      <w:r>
        <w:rPr>
          <w:sz w:val="20"/>
          <w:szCs w:val="20"/>
        </w:rPr>
        <w:t xml:space="preserve">Increasing client demand for ISO/IEC 27001 certification as a precondition of contract award, particularly from BFSI and healthcare clients.</w:t>
      </w:r>
    </w:p>
    <w:p>
      <w:pPr>
        <w:pStyle w:val="ListParagraph"/>
        <w:numPr>
          <w:ilvl w:val="0"/>
          <w:numId w:val="1"/>
        </w:numPr>
        <w:spacing w:after="70"/>
      </w:pPr>
      <w:r>
        <w:rPr>
          <w:sz w:val="20"/>
          <w:szCs w:val="20"/>
        </w:rPr>
        <w:t xml:space="preserve">India's Digital Personal Data Protection Act (DPDPA) introduces new obligations for the handling of client and employee personal data.</w:t>
      </w:r>
    </w:p>
    <w:p>
      <w:pPr>
        <w:pStyle w:val="ListParagraph"/>
        <w:numPr>
          <w:ilvl w:val="0"/>
          <w:numId w:val="1"/>
        </w:numPr>
        <w:spacing w:after="70"/>
      </w:pPr>
      <w:r>
        <w:rPr>
          <w:sz w:val="20"/>
          <w:szCs w:val="20"/>
        </w:rPr>
        <w:t xml:space="preserve">The broader threat landscape shows increasing ransomware activity targeting IT service providers as a route into downstream client environments.</w:t>
      </w:r>
    </w:p>
    <w:p>
      <w:pPr>
        <w:pStyle w:val="ListParagraph"/>
        <w:numPr>
          <w:ilvl w:val="0"/>
          <w:numId w:val="1"/>
        </w:numPr>
        <w:spacing w:after="70"/>
      </w:pPr>
      <w:r>
        <w:rPr>
          <w:sz w:val="20"/>
          <w:szCs w:val="20"/>
        </w:rPr>
        <w:t xml:space="preserve">Competitive pressure — two direct competitors have already achieved ISO/IEC 27001 certification, affecting Certus's ability to compete for regulated-sector contracts.</w:t>
      </w:r>
    </w:p>
    <w:p>
      <w:pPr>
        <w:pBdr>
          <w:bottom w:val="single" w:color="1A1A2E" w:sz="8" w:space="4"/>
        </w:pBdr>
        <w:spacing w:after="120" w:before="260"/>
      </w:pPr>
      <w:r>
        <w:rPr>
          <w:b/>
          <w:bCs/>
          <w:color w:val="1A1A2E"/>
          <w:sz w:val="26"/>
          <w:szCs w:val="26"/>
        </w:rPr>
        <w:t xml:space="preserve">3. Interested Parties and Their Requirements (Clause 4.2)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1A1A2E" w:val="clear"/>
          </w:tcPr>
          <w:p>
            <w:r>
              <w:rPr>
                <w:b/>
                <w:bCs/>
                <w:color w:val="FFFFFF"/>
                <w:sz w:val="18"/>
                <w:szCs w:val="18"/>
              </w:rPr>
              <w:t xml:space="preserve">Interested Party</w:t>
            </w:r>
          </w:p>
        </w:tc>
        <w:tc>
          <w:tcPr>
            <w:tcW w:type="dxa" w:w="3475"/>
            <w:shd w:fill="1A1A2E" w:val="clear"/>
          </w:tcPr>
          <w:p>
            <w:r>
              <w:rPr>
                <w:b/>
                <w:bCs/>
                <w:color w:val="FFFFFF"/>
                <w:sz w:val="18"/>
                <w:szCs w:val="18"/>
              </w:rPr>
              <w:t xml:space="preserve">Requirement</w:t>
            </w:r>
          </w:p>
        </w:tc>
        <w:tc>
          <w:tcPr>
            <w:tcW w:type="dxa" w:w="3475"/>
            <w:shd w:fill="1A1A2E" w:val="clear"/>
          </w:tcPr>
          <w:p>
            <w:r>
              <w:rPr>
                <w:b/>
                <w:bCs/>
                <w:color w:val="FFFFFF"/>
                <w:sz w:val="18"/>
                <w:szCs w:val="18"/>
              </w:rPr>
              <w:t xml:space="preserve">Relevance to ISMS</w:t>
            </w:r>
          </w:p>
        </w:tc>
      </w:tr>
      <w:tr>
        <w:tc>
          <w:tcPr>
            <w:tcW w:type="dxa" w:w="2400"/>
          </w:tcPr>
          <w:p>
            <w:r>
              <w:rPr>
                <w:b w:val="false"/>
                <w:bCs w:val="false"/>
                <w:color w:val="000000"/>
                <w:sz w:val="18"/>
                <w:szCs w:val="18"/>
              </w:rPr>
              <w:t xml:space="preserve">Clients (BFSI, healthcare)</w:t>
            </w:r>
          </w:p>
        </w:tc>
        <w:tc>
          <w:tcPr>
            <w:tcW w:type="dxa" w:w="3475"/>
          </w:tcPr>
          <w:p>
            <w:r>
              <w:rPr>
                <w:b w:val="false"/>
                <w:bCs w:val="false"/>
                <w:color w:val="000000"/>
                <w:sz w:val="18"/>
                <w:szCs w:val="18"/>
              </w:rPr>
              <w:t xml:space="preserve">ISO/IEC 27001 certification; contractual security clauses; breach notification</w:t>
            </w:r>
          </w:p>
        </w:tc>
        <w:tc>
          <w:tcPr>
            <w:tcW w:type="dxa" w:w="3475"/>
          </w:tcPr>
          <w:p>
            <w:r>
              <w:rPr>
                <w:b w:val="false"/>
                <w:bCs w:val="false"/>
                <w:color w:val="000000"/>
                <w:sz w:val="18"/>
                <w:szCs w:val="18"/>
              </w:rPr>
              <w:t xml:space="preserve">Directly drives certification scope and control selection</w:t>
            </w:r>
          </w:p>
        </w:tc>
      </w:tr>
      <w:tr>
        <w:tc>
          <w:tcPr>
            <w:tcW w:type="dxa" w:w="2400"/>
          </w:tcPr>
          <w:p>
            <w:r>
              <w:rPr>
                <w:b w:val="false"/>
                <w:bCs w:val="false"/>
                <w:color w:val="000000"/>
                <w:sz w:val="18"/>
                <w:szCs w:val="18"/>
              </w:rPr>
              <w:t xml:space="preserve">Employees</w:t>
            </w:r>
          </w:p>
        </w:tc>
        <w:tc>
          <w:tcPr>
            <w:tcW w:type="dxa" w:w="3475"/>
          </w:tcPr>
          <w:p>
            <w:r>
              <w:rPr>
                <w:b w:val="false"/>
                <w:bCs w:val="false"/>
                <w:color w:val="000000"/>
                <w:sz w:val="18"/>
                <w:szCs w:val="18"/>
              </w:rPr>
              <w:t xml:space="preserve">Clear policies, job security, fair disciplinary process</w:t>
            </w:r>
          </w:p>
        </w:tc>
        <w:tc>
          <w:tcPr>
            <w:tcW w:type="dxa" w:w="3475"/>
          </w:tcPr>
          <w:p>
            <w:r>
              <w:rPr>
                <w:b w:val="false"/>
                <w:bCs w:val="false"/>
                <w:color w:val="000000"/>
                <w:sz w:val="18"/>
                <w:szCs w:val="18"/>
              </w:rPr>
              <w:t xml:space="preserve">Informs People controls (Clause 6, Annex A 6.1-6.8)</w:t>
            </w:r>
          </w:p>
        </w:tc>
      </w:tr>
      <w:tr>
        <w:tc>
          <w:tcPr>
            <w:tcW w:type="dxa" w:w="2400"/>
          </w:tcPr>
          <w:p>
            <w:r>
              <w:rPr>
                <w:b w:val="false"/>
                <w:bCs w:val="false"/>
                <w:color w:val="000000"/>
                <w:sz w:val="18"/>
                <w:szCs w:val="18"/>
              </w:rPr>
              <w:t xml:space="preserve">Regulators (MeitY / CERT-In)</w:t>
            </w:r>
          </w:p>
        </w:tc>
        <w:tc>
          <w:tcPr>
            <w:tcW w:type="dxa" w:w="3475"/>
          </w:tcPr>
          <w:p>
            <w:r>
              <w:rPr>
                <w:b w:val="false"/>
                <w:bCs w:val="false"/>
                <w:color w:val="000000"/>
                <w:sz w:val="18"/>
                <w:szCs w:val="18"/>
              </w:rPr>
              <w:t xml:space="preserve">DPDPA compliance; incident reporting obligations</w:t>
            </w:r>
          </w:p>
        </w:tc>
        <w:tc>
          <w:tcPr>
            <w:tcW w:type="dxa" w:w="3475"/>
          </w:tcPr>
          <w:p>
            <w:r>
              <w:rPr>
                <w:b w:val="false"/>
                <w:bCs w:val="false"/>
                <w:color w:val="000000"/>
                <w:sz w:val="18"/>
                <w:szCs w:val="18"/>
              </w:rPr>
              <w:t xml:space="preserve">Drives privacy (5.34) and incident management (5.24-5.28) controls</w:t>
            </w:r>
          </w:p>
        </w:tc>
      </w:tr>
      <w:tr>
        <w:tc>
          <w:tcPr>
            <w:tcW w:type="dxa" w:w="2400"/>
          </w:tcPr>
          <w:p>
            <w:r>
              <w:rPr>
                <w:b w:val="false"/>
                <w:bCs w:val="false"/>
                <w:color w:val="000000"/>
                <w:sz w:val="18"/>
                <w:szCs w:val="18"/>
              </w:rPr>
              <w:t xml:space="preserve">Cloud/SaaS vendors (AWS, Azure)</w:t>
            </w:r>
          </w:p>
        </w:tc>
        <w:tc>
          <w:tcPr>
            <w:tcW w:type="dxa" w:w="3475"/>
          </w:tcPr>
          <w:p>
            <w:r>
              <w:rPr>
                <w:b w:val="false"/>
                <w:bCs w:val="false"/>
                <w:color w:val="000000"/>
                <w:sz w:val="18"/>
                <w:szCs w:val="18"/>
              </w:rPr>
              <w:t xml:space="preserve">Shared responsibility model adherence</w:t>
            </w:r>
          </w:p>
        </w:tc>
        <w:tc>
          <w:tcPr>
            <w:tcW w:type="dxa" w:w="3475"/>
          </w:tcPr>
          <w:p>
            <w:r>
              <w:rPr>
                <w:b w:val="false"/>
                <w:bCs w:val="false"/>
                <w:color w:val="000000"/>
                <w:sz w:val="18"/>
                <w:szCs w:val="18"/>
              </w:rPr>
              <w:t xml:space="preserve">Informs cloud services control (5.23)</w:t>
            </w:r>
          </w:p>
        </w:tc>
      </w:tr>
      <w:tr>
        <w:tc>
          <w:tcPr>
            <w:tcW w:type="dxa" w:w="2400"/>
          </w:tcPr>
          <w:p>
            <w:r>
              <w:rPr>
                <w:b w:val="false"/>
                <w:bCs w:val="false"/>
                <w:color w:val="000000"/>
                <w:sz w:val="18"/>
                <w:szCs w:val="18"/>
              </w:rPr>
              <w:t xml:space="preserve">Shareholders / Investors</w:t>
            </w:r>
          </w:p>
        </w:tc>
        <w:tc>
          <w:tcPr>
            <w:tcW w:type="dxa" w:w="3475"/>
          </w:tcPr>
          <w:p>
            <w:r>
              <w:rPr>
                <w:b w:val="false"/>
                <w:bCs w:val="false"/>
                <w:color w:val="000000"/>
                <w:sz w:val="18"/>
                <w:szCs w:val="18"/>
              </w:rPr>
              <w:t xml:space="preserve">Demonstrated risk management maturity ahead of Series B funding round</w:t>
            </w:r>
          </w:p>
        </w:tc>
        <w:tc>
          <w:tcPr>
            <w:tcW w:type="dxa" w:w="3475"/>
          </w:tcPr>
          <w:p>
            <w:r>
              <w:rPr>
                <w:b w:val="false"/>
                <w:bCs w:val="false"/>
                <w:color w:val="000000"/>
                <w:sz w:val="18"/>
                <w:szCs w:val="18"/>
              </w:rPr>
              <w:t xml:space="preserve">Supports business case for ISMS investment</w:t>
            </w:r>
          </w:p>
        </w:tc>
      </w:tr>
    </w:tbl>
    <w:p>
      <w:pPr>
        <w:pBdr>
          <w:bottom w:val="single" w:color="1A1A2E" w:sz="8" w:space="4"/>
        </w:pBdr>
        <w:spacing w:after="120" w:before="260"/>
      </w:pPr>
      <w:r>
        <w:rPr>
          <w:b/>
          <w:bCs/>
          <w:color w:val="1A1A2E"/>
          <w:sz w:val="26"/>
          <w:szCs w:val="26"/>
        </w:rPr>
        <w:t xml:space="preserve">4. ISMS Scope (Clause 4.3)</w:t>
      </w:r>
    </w:p>
    <w:p>
      <w:pPr>
        <w:spacing w:after="120"/>
      </w:pPr>
      <w:r>
        <w:rPr>
          <w:sz w:val="20"/>
          <w:szCs w:val="20"/>
        </w:rPr>
        <w:t xml:space="preserve">The Information Security Management System covers all information assets, personnel, and processes involved in the delivery of software development, IT infrastructure management, and endpoint security services from Certus IT Solutions' Mumbai head office and its hybrid/remote workforce.</w:t>
      </w:r>
    </w:p>
    <w:p>
      <w:pPr>
        <w:spacing w:after="90" w:before="220"/>
      </w:pPr>
      <w:r>
        <w:rPr>
          <w:b/>
          <w:bCs/>
          <w:color w:val="4A235A"/>
          <w:sz w:val="21"/>
          <w:szCs w:val="21"/>
        </w:rPr>
        <w:t xml:space="preserve">4.1 Included</w:t>
      </w:r>
    </w:p>
    <w:p>
      <w:pPr>
        <w:pStyle w:val="ListParagraph"/>
        <w:numPr>
          <w:ilvl w:val="0"/>
          <w:numId w:val="1"/>
        </w:numPr>
        <w:spacing w:after="70"/>
      </w:pPr>
      <w:r>
        <w:rPr>
          <w:sz w:val="20"/>
          <w:szCs w:val="20"/>
        </w:rPr>
        <w:t xml:space="preserve">Mumbai head office (Level 4, Tech Park, Andheri East), including the on-premises server room</w:t>
      </w:r>
    </w:p>
    <w:p>
      <w:pPr>
        <w:pStyle w:val="ListParagraph"/>
        <w:numPr>
          <w:ilvl w:val="0"/>
          <w:numId w:val="1"/>
        </w:numPr>
        <w:spacing w:after="70"/>
      </w:pPr>
      <w:r>
        <w:rPr>
          <w:sz w:val="20"/>
          <w:szCs w:val="20"/>
        </w:rPr>
        <w:t xml:space="preserve">Production, staging, and development environments hosted on AWS and Microsoft Azure</w:t>
      </w:r>
    </w:p>
    <w:p>
      <w:pPr>
        <w:pStyle w:val="ListParagraph"/>
        <w:numPr>
          <w:ilvl w:val="0"/>
          <w:numId w:val="1"/>
        </w:numPr>
        <w:spacing w:after="70"/>
      </w:pPr>
      <w:r>
        <w:rPr>
          <w:sz w:val="20"/>
          <w:szCs w:val="20"/>
        </w:rPr>
        <w:t xml:space="preserve">All company-issued endpoint devices (laptops/desktops) used by employees and contractors, including remote/hybrid workers</w:t>
      </w:r>
    </w:p>
    <w:p>
      <w:pPr>
        <w:pStyle w:val="ListParagraph"/>
        <w:numPr>
          <w:ilvl w:val="0"/>
          <w:numId w:val="1"/>
        </w:numPr>
        <w:spacing w:after="70"/>
      </w:pPr>
      <w:r>
        <w:rPr>
          <w:sz w:val="20"/>
          <w:szCs w:val="20"/>
        </w:rPr>
        <w:t xml:space="preserve">Software development lifecycle activities for client-facing applications</w:t>
      </w:r>
    </w:p>
    <w:p>
      <w:pPr>
        <w:pStyle w:val="ListParagraph"/>
        <w:numPr>
          <w:ilvl w:val="0"/>
          <w:numId w:val="1"/>
        </w:numPr>
        <w:spacing w:after="70"/>
      </w:pPr>
      <w:r>
        <w:rPr>
          <w:sz w:val="20"/>
          <w:szCs w:val="20"/>
        </w:rPr>
        <w:t xml:space="preserve">Client data processed, stored, or transmitted in connection with contracted services</w:t>
      </w:r>
    </w:p>
    <w:p>
      <w:pPr>
        <w:spacing w:after="90" w:before="220"/>
      </w:pPr>
      <w:r>
        <w:rPr>
          <w:b/>
          <w:bCs/>
          <w:color w:val="4A235A"/>
          <w:sz w:val="21"/>
          <w:szCs w:val="21"/>
        </w:rPr>
        <w:t xml:space="preserve">4.2 Excluded</w:t>
      </w:r>
    </w:p>
    <w:p>
      <w:pPr>
        <w:pStyle w:val="ListParagraph"/>
        <w:numPr>
          <w:ilvl w:val="0"/>
          <w:numId w:val="1"/>
        </w:numPr>
        <w:spacing w:after="70"/>
      </w:pPr>
      <w:r>
        <w:rPr>
          <w:sz w:val="20"/>
          <w:szCs w:val="20"/>
        </w:rPr>
        <w:t xml:space="preserve">The Pune sales office — no technical systems or client data are hosted or processed at this location; used solely for business development and marketing activities.</w:t>
      </w:r>
    </w:p>
    <w:p>
      <w:pPr>
        <w:pBdr>
          <w:bottom w:val="single" w:color="1A1A2E" w:sz="8" w:space="4"/>
        </w:pBdr>
        <w:spacing w:after="120" w:before="260"/>
      </w:pPr>
      <w:r>
        <w:rPr>
          <w:b/>
          <w:bCs/>
          <w:color w:val="1A1A2E"/>
          <w:sz w:val="26"/>
          <w:szCs w:val="26"/>
        </w:rPr>
        <w:t xml:space="preserve">5. Information Security Policy Statement (Clause 5.2, Summary)</w:t>
      </w:r>
    </w:p>
    <w:p>
      <w:pPr>
        <w:spacing w:after="120"/>
      </w:pPr>
      <w:r>
        <w:rPr>
          <w:sz w:val="20"/>
          <w:szCs w:val="20"/>
        </w:rPr>
        <w:t xml:space="preserve">Top management is committed to protecting the confidentiality, integrity, and availability of information assets belonging to Certus IT Solutions and its clients. The organisation will identify and treat information security risks in line with its risk appetite, comply with applicable legal and contractual requirements including DPDPA, and continually improve the ISMS. The full Information Security Policy is reviewed annually and upon significant change, and is communicated to all employees and relevant contractors.</w:t>
      </w:r>
    </w:p>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2026-07-13T22:36:36.963Z</dcterms:created>
  <dcterms:modified xsi:type="dcterms:W3CDTF">2026-07-13T22:36:36.975Z</dcterms:modified>
</cp:coreProperties>
</file>

<file path=docProps/custom.xml><?xml version="1.0" encoding="utf-8"?>
<Properties xmlns="http://schemas.openxmlformats.org/officeDocument/2006/custom-properties" xmlns:vt="http://schemas.openxmlformats.org/officeDocument/2006/docPropsVTypes"/>
</file>