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A1A2E"/>
          <w:sz w:val="30"/>
          <w:szCs w:val="30"/>
        </w:rPr>
        <w:t xml:space="preserve">Certus IT Solutions Pvt. Ltd.</w:t>
      </w:r>
    </w:p>
    <w:p>
      <w:pPr>
        <w:spacing w:after="80"/>
      </w:pPr>
      <w:r>
        <w:rPr>
          <w:color w:val="555555"/>
          <w:sz w:val="22"/>
          <w:szCs w:val="22"/>
        </w:rPr>
        <w:t xml:space="preserve">Internal ISMS Audit Report</w:t>
      </w:r>
    </w:p>
    <w:p>
      <w:pPr>
        <w:spacing w:after="200"/>
      </w:pPr>
      <w:r>
        <w:rPr>
          <w:i/>
          <w:iCs/>
          <w:color w:val="555555"/>
          <w:sz w:val="16"/>
          <w:szCs w:val="16"/>
        </w:rPr>
        <w:t xml:space="preserve">Report Ref: CERTUS-IA-2026-01 | ISO/IEC 27001:2022 | Prepared by: Swapnil Shingte, Lead Auditor (CQI-IRCA)</w:t>
      </w:r>
    </w:p>
    <w:p>
      <w:pPr>
        <w:spacing w:after="200"/>
      </w:pPr>
      <w:r>
        <w:rPr>
          <w:i/>
          <w:iCs/>
          <w:color w:val="888888"/>
          <w:sz w:val="16"/>
          <w:szCs w:val="16"/>
        </w:rPr>
        <w:t xml:space="preserve">Note: Certus IT Solutions Pvt. Ltd. is a fictional company. This audit report is a portfolio artefact built to demonstrate practical application of ISO/IEC 27001:2022 and ISO 19011 audit methodology.</w:t>
      </w:r>
    </w:p>
    <w:p>
      <w:pPr>
        <w:pBdr>
          <w:bottom w:val="single" w:color="1A1A2E" w:sz="8" w:space="4"/>
        </w:pBdr>
        <w:spacing w:after="120" w:before="260"/>
      </w:pPr>
      <w:r>
        <w:rPr>
          <w:b/>
          <w:bCs/>
          <w:color w:val="1A1A2E"/>
          <w:sz w:val="26"/>
          <w:szCs w:val="26"/>
        </w:rPr>
        <w:t xml:space="preserve">1. Audit Details</w:t>
      </w:r>
    </w:p>
    <w:p>
      <w:pPr>
        <w:spacing w:after="80"/>
      </w:pPr>
      <w:r>
        <w:rPr>
          <w:b/>
          <w:bCs/>
          <w:sz w:val="20"/>
          <w:szCs w:val="20"/>
        </w:rPr>
        <w:t xml:space="preserve">Audit Type: </w:t>
      </w:r>
      <w:r>
        <w:rPr>
          <w:sz w:val="20"/>
          <w:szCs w:val="20"/>
        </w:rPr>
        <w:t xml:space="preserve">First-party (Internal) Audit</w:t>
      </w:r>
    </w:p>
    <w:p>
      <w:pPr>
        <w:spacing w:after="80"/>
      </w:pPr>
      <w:r>
        <w:rPr>
          <w:b/>
          <w:bCs/>
          <w:sz w:val="20"/>
          <w:szCs w:val="20"/>
        </w:rPr>
        <w:t xml:space="preserve">Audit Client: </w:t>
      </w:r>
      <w:r>
        <w:rPr>
          <w:sz w:val="20"/>
          <w:szCs w:val="20"/>
        </w:rPr>
        <w:t xml:space="preserve">Certus IT Solutions Pvt. Ltd. — Board of Directors / Management Representative</w:t>
      </w:r>
    </w:p>
    <w:p>
      <w:pPr>
        <w:spacing w:after="80"/>
      </w:pPr>
      <w:r>
        <w:rPr>
          <w:b/>
          <w:bCs/>
          <w:sz w:val="20"/>
          <w:szCs w:val="20"/>
        </w:rPr>
        <w:t xml:space="preserve">Auditee: </w:t>
      </w:r>
      <w:r>
        <w:rPr>
          <w:sz w:val="20"/>
          <w:szCs w:val="20"/>
        </w:rPr>
        <w:t xml:space="preserve">Information Security &amp; IT Operations functions</w:t>
      </w:r>
    </w:p>
    <w:p>
      <w:pPr>
        <w:spacing w:after="80"/>
      </w:pPr>
      <w:r>
        <w:rPr>
          <w:b/>
          <w:bCs/>
          <w:sz w:val="20"/>
          <w:szCs w:val="20"/>
        </w:rPr>
        <w:t xml:space="preserve">Audit Criteria: </w:t>
      </w:r>
      <w:r>
        <w:rPr>
          <w:sz w:val="20"/>
          <w:szCs w:val="20"/>
        </w:rPr>
        <w:t xml:space="preserve">ISO/IEC 27001:2022 (Clauses 4-10, applicable Annex A controls per Statement of Applicability); Certus internal ISMS policies and procedures</w:t>
      </w:r>
    </w:p>
    <w:p>
      <w:pPr>
        <w:spacing w:after="80"/>
      </w:pPr>
      <w:r>
        <w:rPr>
          <w:b/>
          <w:bCs/>
          <w:sz w:val="20"/>
          <w:szCs w:val="20"/>
        </w:rPr>
        <w:t xml:space="preserve">Audit Scope: </w:t>
      </w:r>
      <w:r>
        <w:rPr>
          <w:sz w:val="20"/>
          <w:szCs w:val="20"/>
        </w:rPr>
        <w:t xml:space="preserve">As defined in the ISMS Scope document (Section 4.3) — Mumbai head office, cloud infrastructure (AWS/Azure), all in-scope endpoint devices and personnel. Sample-based testing was applied across Organisational, People, Physical, and Technological control themes.</w:t>
      </w:r>
    </w:p>
    <w:p>
      <w:pPr>
        <w:spacing w:after="80"/>
      </w:pPr>
      <w:r>
        <w:rPr>
          <w:b/>
          <w:bCs/>
          <w:sz w:val="20"/>
          <w:szCs w:val="20"/>
        </w:rPr>
        <w:t xml:space="preserve">Audit Objectives: </w:t>
      </w:r>
      <w:r>
        <w:rPr>
          <w:sz w:val="20"/>
          <w:szCs w:val="20"/>
        </w:rPr>
        <w:t xml:space="preserve">(1) Determine conformity of the ISMS with ISO/IEC 27001:2022 requirements and Certus's own policies; (2) Assess whether the ISMS is effectively implemented and maintained; (3) Confirm audit readiness ahead of the planned external Stage 1 certification audit.</w:t>
      </w:r>
    </w:p>
    <w:p>
      <w:pPr>
        <w:spacing w:after="80"/>
      </w:pPr>
      <w:r>
        <w:rPr>
          <w:b/>
          <w:bCs/>
          <w:sz w:val="20"/>
          <w:szCs w:val="20"/>
        </w:rPr>
        <w:t xml:space="preserve">Audit Dates: </w:t>
      </w:r>
      <w:r>
        <w:rPr>
          <w:sz w:val="20"/>
          <w:szCs w:val="20"/>
        </w:rPr>
        <w:t xml:space="preserve">14-16 July 2026</w:t>
      </w:r>
    </w:p>
    <w:p>
      <w:pPr>
        <w:spacing w:after="80"/>
      </w:pPr>
      <w:r>
        <w:rPr>
          <w:b/>
          <w:bCs/>
          <w:sz w:val="20"/>
          <w:szCs w:val="20"/>
        </w:rPr>
        <w:t xml:space="preserve">Audit Team: </w:t>
      </w:r>
      <w:r>
        <w:rPr>
          <w:sz w:val="20"/>
          <w:szCs w:val="20"/>
        </w:rPr>
        <w:t xml:space="preserve">Swapnil Shingte — Lead Auditor</w:t>
      </w:r>
    </w:p>
    <w:p>
      <w:pPr>
        <w:spacing w:after="80"/>
      </w:pPr>
      <w:r>
        <w:rPr>
          <w:b/>
          <w:bCs/>
          <w:sz w:val="20"/>
          <w:szCs w:val="20"/>
        </w:rPr>
        <w:t xml:space="preserve">Methodology: </w:t>
      </w:r>
      <w:r>
        <w:rPr>
          <w:sz w:val="20"/>
          <w:szCs w:val="20"/>
        </w:rPr>
        <w:t xml:space="preserve">Document review, interviews with process owners (IT Security, HR, DevOps, Facilities), sampling of tickets/records, and observation, in accordance with ISO 19011 guidance.</w:t>
      </w:r>
    </w:p>
    <w:p>
      <w:pPr>
        <w:pBdr>
          <w:bottom w:val="single" w:color="1A1A2E" w:sz="8" w:space="4"/>
        </w:pBdr>
        <w:spacing w:after="120" w:before="260"/>
      </w:pPr>
      <w:r>
        <w:rPr>
          <w:b/>
          <w:bCs/>
          <w:color w:val="1A1A2E"/>
          <w:sz w:val="26"/>
          <w:szCs w:val="26"/>
        </w:rPr>
        <w:t xml:space="preserve">2. Executive Summary</w:t>
      </w:r>
    </w:p>
    <w:p>
      <w:pPr>
        <w:spacing w:after="120"/>
      </w:pPr>
      <w:r>
        <w:rPr>
          <w:sz w:val="20"/>
          <w:szCs w:val="20"/>
        </w:rPr>
        <w:t xml:space="preserve">This internal audit assessed the conformity and effectiveness of the Certus IT Solutions ISMS against ISO/IEC 27001:2022 ahead of the organisation's planned external certification audit. The audit found the ISMS to be substantially implemented, with core governance, incident management, and access control processes operating as intended. One major nonconformity was identified relating to overdue information security risk assessment (Clause 6.1.2). Three minor nonconformities were identified relating to awareness training completion, patch management SLA adherence, and privileged access review timeliness. Two opportunities for improvement were also noted. None of the findings indicate a systemic breakdown of the management system; however, the major nonconformity must be corrected and verified before the organisation proceeds to external certification.</w:t>
      </w:r>
    </w:p>
    <w:p>
      <w:pPr>
        <w:pBdr>
          <w:bottom w:val="single" w:color="1A1A2E" w:sz="8" w:space="4"/>
        </w:pBdr>
        <w:spacing w:after="120" w:before="260"/>
      </w:pPr>
      <w:r>
        <w:rPr>
          <w:b/>
          <w:bCs/>
          <w:color w:val="1A1A2E"/>
          <w:sz w:val="26"/>
          <w:szCs w:val="26"/>
        </w:rPr>
        <w:t xml:space="preserve">3. Summary of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c>
          <w:tcPr>
            <w:tcW w:type="dxa" w:w="3350"/>
            <w:shd w:fill="1A1A2E" w:val="clear"/>
          </w:tcPr>
          <w:p>
            <w:r>
              <w:rPr>
                <w:b/>
                <w:bCs/>
                <w:color w:val="FFFFFF"/>
                <w:sz w:val="18"/>
                <w:szCs w:val="18"/>
              </w:rPr>
              <w:t xml:space="preserve">Finding Type</w:t>
            </w:r>
          </w:p>
        </w:tc>
        <w:tc>
          <w:tcPr>
            <w:tcW w:type="dxa" w:w="2000"/>
            <w:shd w:fill="1A1A2E" w:val="clear"/>
          </w:tcPr>
          <w:p>
            <w:r>
              <w:rPr>
                <w:b/>
                <w:bCs/>
                <w:color w:val="FFFFFF"/>
                <w:sz w:val="18"/>
                <w:szCs w:val="18"/>
              </w:rPr>
              <w:t xml:space="preserve">Count</w:t>
            </w:r>
          </w:p>
        </w:tc>
        <w:tc>
          <w:tcPr>
            <w:tcW w:type="dxa" w:w="4000"/>
            <w:shd w:fill="1A1A2E" w:val="clear"/>
          </w:tcPr>
          <w:p>
            <w:r>
              <w:rPr>
                <w:b/>
                <w:bCs/>
                <w:color w:val="FFFFFF"/>
                <w:sz w:val="18"/>
                <w:szCs w:val="18"/>
              </w:rPr>
              <w:t xml:space="preserve">Reference</w:t>
            </w:r>
          </w:p>
        </w:tc>
      </w:tr>
      <w:tr>
        <w:tc>
          <w:tcPr>
            <w:tcW w:type="dxa" w:w="3350"/>
            <w:shd w:fill="F8D7DA" w:val="clear"/>
          </w:tcPr>
          <w:p>
            <w:r>
              <w:rPr>
                <w:b w:val="false"/>
                <w:bCs w:val="false"/>
                <w:color w:val="000000"/>
                <w:sz w:val="18"/>
                <w:szCs w:val="18"/>
              </w:rPr>
              <w:t xml:space="preserve">Major Nonconformity</w:t>
            </w:r>
          </w:p>
        </w:tc>
        <w:tc>
          <w:tcPr>
            <w:tcW w:type="dxa" w:w="2000"/>
          </w:tcPr>
          <w:p>
            <w:r>
              <w:rPr>
                <w:b w:val="false"/>
                <w:bCs w:val="false"/>
                <w:color w:val="000000"/>
                <w:sz w:val="18"/>
                <w:szCs w:val="18"/>
              </w:rPr>
              <w:t xml:space="preserve">1</w:t>
            </w:r>
          </w:p>
        </w:tc>
        <w:tc>
          <w:tcPr>
            <w:tcW w:type="dxa" w:w="4000"/>
          </w:tcPr>
          <w:p>
            <w:r>
              <w:rPr>
                <w:b w:val="false"/>
                <w:bCs w:val="false"/>
                <w:color w:val="000000"/>
                <w:sz w:val="18"/>
                <w:szCs w:val="18"/>
              </w:rPr>
              <w:t xml:space="preserve">NC-01 (Clause 6.1.2)</w:t>
            </w:r>
          </w:p>
        </w:tc>
      </w:tr>
      <w:tr>
        <w:tc>
          <w:tcPr>
            <w:tcW w:type="dxa" w:w="3350"/>
            <w:shd w:fill="FFF3CD" w:val="clear"/>
          </w:tcPr>
          <w:p>
            <w:r>
              <w:rPr>
                <w:b w:val="false"/>
                <w:bCs w:val="false"/>
                <w:color w:val="000000"/>
                <w:sz w:val="18"/>
                <w:szCs w:val="18"/>
              </w:rPr>
              <w:t xml:space="preserve">Minor Nonconformity</w:t>
            </w:r>
          </w:p>
        </w:tc>
        <w:tc>
          <w:tcPr>
            <w:tcW w:type="dxa" w:w="2000"/>
          </w:tcPr>
          <w:p>
            <w:r>
              <w:rPr>
                <w:b w:val="false"/>
                <w:bCs w:val="false"/>
                <w:color w:val="000000"/>
                <w:sz w:val="18"/>
                <w:szCs w:val="18"/>
              </w:rPr>
              <w:t xml:space="preserve">3</w:t>
            </w:r>
          </w:p>
        </w:tc>
        <w:tc>
          <w:tcPr>
            <w:tcW w:type="dxa" w:w="4000"/>
          </w:tcPr>
          <w:p>
            <w:r>
              <w:rPr>
                <w:b w:val="false"/>
                <w:bCs w:val="false"/>
                <w:color w:val="000000"/>
                <w:sz w:val="18"/>
                <w:szCs w:val="18"/>
              </w:rPr>
              <w:t xml:space="preserve">NC-02, NC-03, NC-04</w:t>
            </w:r>
          </w:p>
        </w:tc>
      </w:tr>
      <w:tr>
        <w:tc>
          <w:tcPr>
            <w:tcW w:type="dxa" w:w="3350"/>
            <w:shd w:fill="D6EAF8" w:val="clear"/>
          </w:tcPr>
          <w:p>
            <w:r>
              <w:rPr>
                <w:b w:val="false"/>
                <w:bCs w:val="false"/>
                <w:color w:val="000000"/>
                <w:sz w:val="18"/>
                <w:szCs w:val="18"/>
              </w:rPr>
              <w:t xml:space="preserve">Opportunity for Improvement</w:t>
            </w:r>
          </w:p>
        </w:tc>
        <w:tc>
          <w:tcPr>
            <w:tcW w:type="dxa" w:w="2000"/>
          </w:tcPr>
          <w:p>
            <w:r>
              <w:rPr>
                <w:b w:val="false"/>
                <w:bCs w:val="false"/>
                <w:color w:val="000000"/>
                <w:sz w:val="18"/>
                <w:szCs w:val="18"/>
              </w:rPr>
              <w:t xml:space="preserve">2</w:t>
            </w:r>
          </w:p>
        </w:tc>
        <w:tc>
          <w:tcPr>
            <w:tcW w:type="dxa" w:w="4000"/>
          </w:tcPr>
          <w:p>
            <w:r>
              <w:rPr>
                <w:b w:val="false"/>
                <w:bCs w:val="false"/>
                <w:color w:val="000000"/>
                <w:sz w:val="18"/>
                <w:szCs w:val="18"/>
              </w:rPr>
              <w:t xml:space="preserve">OFI-01, OFI-02</w:t>
            </w:r>
          </w:p>
        </w:tc>
      </w:tr>
      <w:tr>
        <w:tc>
          <w:tcPr>
            <w:tcW w:type="dxa" w:w="3350"/>
            <w:shd w:fill="D4EDDA" w:val="clear"/>
          </w:tcPr>
          <w:p>
            <w:r>
              <w:rPr>
                <w:b w:val="false"/>
                <w:bCs w:val="false"/>
                <w:color w:val="000000"/>
                <w:sz w:val="18"/>
                <w:szCs w:val="18"/>
              </w:rPr>
              <w:t xml:space="preserve">Areas of Conformity Sampled</w:t>
            </w:r>
          </w:p>
        </w:tc>
        <w:tc>
          <w:tcPr>
            <w:tcW w:type="dxa" w:w="2000"/>
          </w:tcPr>
          <w:p>
            <w:r>
              <w:rPr>
                <w:b w:val="false"/>
                <w:bCs w:val="false"/>
                <w:color w:val="000000"/>
                <w:sz w:val="18"/>
                <w:szCs w:val="18"/>
              </w:rPr>
              <w:t xml:space="preserve">5</w:t>
            </w:r>
          </w:p>
        </w:tc>
        <w:tc>
          <w:tcPr>
            <w:tcW w:type="dxa" w:w="4000"/>
          </w:tcPr>
          <w:p>
            <w:r>
              <w:rPr>
                <w:b w:val="false"/>
                <w:bCs w:val="false"/>
                <w:color w:val="000000"/>
                <w:sz w:val="18"/>
                <w:szCs w:val="18"/>
              </w:rPr>
              <w:t xml:space="preserve">See Section 5</w:t>
            </w:r>
          </w:p>
        </w:tc>
      </w:tr>
    </w:tbl>
    <w:p>
      <w:pPr>
        <w:pBdr>
          <w:bottom w:val="single" w:color="1A1A2E" w:sz="8" w:space="4"/>
        </w:pBdr>
        <w:spacing w:after="120" w:before="260"/>
      </w:pPr>
      <w:r>
        <w:rPr>
          <w:b/>
          <w:bCs/>
          <w:color w:val="1A1A2E"/>
          <w:sz w:val="26"/>
          <w:szCs w:val="26"/>
        </w:rPr>
        <w:t xml:space="preserve">4. Detailed Findings</w:t>
      </w:r>
    </w:p>
    <w:p>
      <w:pPr>
        <w:shd w:fill="8A1A1A" w:val="clear"/>
        <w:spacing w:after="60" w:before="200"/>
      </w:pPr>
      <w:r>
        <w:rPr>
          <w:b/>
          <w:bCs/>
          <w:color w:val="FFFFFF"/>
          <w:sz w:val="21"/>
          <w:szCs w:val="21"/>
        </w:rPr>
        <w:t xml:space="preserve">  NC-01 — MAJOR — Overdue Information Security Risk Assessment</w:t>
      </w:r>
    </w:p>
    <w:p>
      <w:pPr>
        <w:spacing w:after="80"/>
      </w:pPr>
      <w:r>
        <w:rPr>
          <w:b/>
          <w:bCs/>
          <w:sz w:val="20"/>
          <w:szCs w:val="20"/>
        </w:rPr>
        <w:t xml:space="preserve">Clause / Control Reference: </w:t>
      </w:r>
      <w:r>
        <w:rPr>
          <w:sz w:val="20"/>
          <w:szCs w:val="20"/>
        </w:rPr>
        <w:t xml:space="preserve">Clause 6.1.2 (Information Security Risk Assessment)</w:t>
      </w:r>
    </w:p>
    <w:p>
      <w:pPr>
        <w:spacing w:after="80"/>
      </w:pPr>
      <w:r>
        <w:rPr>
          <w:b/>
          <w:bCs/>
          <w:sz w:val="20"/>
          <w:szCs w:val="20"/>
        </w:rPr>
        <w:t xml:space="preserve">Requirement (Criteria): </w:t>
      </w:r>
      <w:r>
        <w:rPr>
          <w:sz w:val="20"/>
          <w:szCs w:val="20"/>
        </w:rPr>
        <w:t xml:space="preserve">The organisation's Risk Assessment and Treatment Procedure (v1.2) requires the information security risk assessment to be reviewed at least annually and following significant change.</w:t>
      </w:r>
    </w:p>
    <w:p>
      <w:pPr>
        <w:spacing w:after="80"/>
      </w:pPr>
      <w:r>
        <w:rPr>
          <w:b/>
          <w:bCs/>
          <w:sz w:val="20"/>
          <w:szCs w:val="20"/>
        </w:rPr>
        <w:t xml:space="preserve">Evidence: </w:t>
      </w:r>
      <w:r>
        <w:rPr>
          <w:sz w:val="20"/>
          <w:szCs w:val="20"/>
        </w:rPr>
        <w:t xml:space="preserve">Risk register version history and management review minutes confirm the most recent full risk assessment was completed in January 2025 — 18 months prior to this audit. No full reassessment has been conducted since, despite two significant changes occurring in the interim: (1) migration of core production infrastructure to AWS and Azure, completed Q3 2025, and (2) organisational growth from approximately 95 to 150 employees.</w:t>
      </w:r>
    </w:p>
    <w:p>
      <w:pPr>
        <w:spacing w:after="80"/>
      </w:pPr>
      <w:r>
        <w:rPr>
          <w:b/>
          <w:bCs/>
          <w:sz w:val="20"/>
          <w:szCs w:val="20"/>
        </w:rPr>
        <w:t xml:space="preserve">Finding: </w:t>
      </w:r>
      <w:r>
        <w:rPr>
          <w:sz w:val="20"/>
          <w:szCs w:val="20"/>
        </w:rPr>
        <w:t xml:space="preserve">Graded MAJOR — the risk assessment has not been reviewed at the required interval, and significant changes that could introduce new or altered risks have not triggered a reassessment. This represents a systemic gap in the operation of Clause 6.1.2 and directly undermines the currency of the risk treatment plan and Statement of Applicability.</w:t>
      </w:r>
    </w:p>
    <w:p>
      <w:pPr>
        <w:shd w:fill="8A5C00" w:val="clear"/>
        <w:spacing w:after="60" w:before="200"/>
      </w:pPr>
      <w:r>
        <w:rPr>
          <w:b/>
          <w:bCs/>
          <w:color w:val="FFFFFF"/>
          <w:sz w:val="21"/>
          <w:szCs w:val="21"/>
        </w:rPr>
        <w:t xml:space="preserve">  NC-02 — MINOR — Incomplete Information Security Awareness Training</w:t>
      </w:r>
    </w:p>
    <w:p>
      <w:pPr>
        <w:spacing w:after="80"/>
      </w:pPr>
      <w:r>
        <w:rPr>
          <w:b/>
          <w:bCs/>
          <w:sz w:val="20"/>
          <w:szCs w:val="20"/>
        </w:rPr>
        <w:t xml:space="preserve">Clause / Control Reference: </w:t>
      </w:r>
      <w:r>
        <w:rPr>
          <w:sz w:val="20"/>
          <w:szCs w:val="20"/>
        </w:rPr>
        <w:t xml:space="preserve">Annex A 6.3 (Information security awareness, education and training)</w:t>
      </w:r>
    </w:p>
    <w:p>
      <w:pPr>
        <w:spacing w:after="80"/>
      </w:pPr>
      <w:r>
        <w:rPr>
          <w:b/>
          <w:bCs/>
          <w:sz w:val="20"/>
          <w:szCs w:val="20"/>
        </w:rPr>
        <w:t xml:space="preserve">Requirement (Criteria): </w:t>
      </w:r>
      <w:r>
        <w:rPr>
          <w:sz w:val="20"/>
          <w:szCs w:val="20"/>
        </w:rPr>
        <w:t xml:space="preserve">The Information Security Awareness Policy requires 100% completion of onboarding security awareness training within 30 days of joining.</w:t>
      </w:r>
    </w:p>
    <w:p>
      <w:pPr>
        <w:spacing w:after="80"/>
      </w:pPr>
      <w:r>
        <w:rPr>
          <w:b/>
          <w:bCs/>
          <w:sz w:val="20"/>
          <w:szCs w:val="20"/>
        </w:rPr>
        <w:t xml:space="preserve">Evidence: </w:t>
      </w:r>
      <w:r>
        <w:rPr>
          <w:sz w:val="20"/>
          <w:szCs w:val="20"/>
        </w:rPr>
        <w:t xml:space="preserve">LMS training records for the 2023 new-hire cohort show 71% completion (32 of 45 employees). Interviews with 5 sampled employees hired in 2023 corroborated the gap. 2024 and 2025 cohorts show 96%+ completion, indicating the process is now operating effectively going forward.</w:t>
      </w:r>
    </w:p>
    <w:p>
      <w:pPr>
        <w:spacing w:after="80"/>
      </w:pPr>
      <w:r>
        <w:rPr>
          <w:b/>
          <w:bCs/>
          <w:sz w:val="20"/>
          <w:szCs w:val="20"/>
        </w:rPr>
        <w:t xml:space="preserve">Finding: </w:t>
      </w:r>
      <w:r>
        <w:rPr>
          <w:sz w:val="20"/>
          <w:szCs w:val="20"/>
        </w:rPr>
        <w:t xml:space="preserve">Graded MINOR — the gap is isolated to a single historical cohort rather than indicating an ongoing systemic failure of the awareness programme, which is demonstrably operating effectively for subsequent cohorts.</w:t>
      </w:r>
    </w:p>
    <w:p>
      <w:pPr>
        <w:shd w:fill="8A5C00" w:val="clear"/>
        <w:spacing w:after="60" w:before="200"/>
      </w:pPr>
      <w:r>
        <w:rPr>
          <w:b/>
          <w:bCs/>
          <w:color w:val="FFFFFF"/>
          <w:sz w:val="21"/>
          <w:szCs w:val="21"/>
        </w:rPr>
        <w:t xml:space="preserve">  NC-03 — MINOR — Patch Management SLA Not Consistently Met</w:t>
      </w:r>
    </w:p>
    <w:p>
      <w:pPr>
        <w:spacing w:after="80"/>
      </w:pPr>
      <w:r>
        <w:rPr>
          <w:b/>
          <w:bCs/>
          <w:sz w:val="20"/>
          <w:szCs w:val="20"/>
        </w:rPr>
        <w:t xml:space="preserve">Clause / Control Reference: </w:t>
      </w:r>
      <w:r>
        <w:rPr>
          <w:sz w:val="20"/>
          <w:szCs w:val="20"/>
        </w:rPr>
        <w:t xml:space="preserve">Annex A 8.8 (Management of technical vulnerabilities)</w:t>
      </w:r>
    </w:p>
    <w:p>
      <w:pPr>
        <w:spacing w:after="80"/>
      </w:pPr>
      <w:r>
        <w:rPr>
          <w:b/>
          <w:bCs/>
          <w:sz w:val="20"/>
          <w:szCs w:val="20"/>
        </w:rPr>
        <w:t xml:space="preserve">Requirement (Criteria): </w:t>
      </w:r>
      <w:r>
        <w:rPr>
          <w:sz w:val="20"/>
          <w:szCs w:val="20"/>
        </w:rPr>
        <w:t xml:space="preserve">The Vulnerability Management Procedure defines a 30-day remediation SLA for non-critical patches (CVSS &lt; 7.0) and a 7-day SLA for critical patches (CVSS ≥ 7.0).</w:t>
      </w:r>
    </w:p>
    <w:p>
      <w:pPr>
        <w:spacing w:after="80"/>
      </w:pPr>
      <w:r>
        <w:rPr>
          <w:b/>
          <w:bCs/>
          <w:sz w:val="20"/>
          <w:szCs w:val="20"/>
        </w:rPr>
        <w:t xml:space="preserve">Evidence: </w:t>
      </w:r>
      <w:r>
        <w:rPr>
          <w:sz w:val="20"/>
          <w:szCs w:val="20"/>
        </w:rPr>
        <w:t xml:space="preserve">Sampling of 20 patch tickets from Q2 2026 showed all critical patches met the 7-day SLA. Non-critical patches were remediated in an average of 45 days against the 30-day target.</w:t>
      </w:r>
    </w:p>
    <w:p>
      <w:pPr>
        <w:spacing w:after="80"/>
      </w:pPr>
      <w:r>
        <w:rPr>
          <w:b/>
          <w:bCs/>
          <w:sz w:val="20"/>
          <w:szCs w:val="20"/>
        </w:rPr>
        <w:t xml:space="preserve">Finding: </w:t>
      </w:r>
      <w:r>
        <w:rPr>
          <w:sz w:val="20"/>
          <w:szCs w:val="20"/>
        </w:rPr>
        <w:t xml:space="preserve">Graded MINOR — the critical patch SLA (the higher-risk category) is being consistently met. The gap is confined to lower-severity, non-critical patching cadence and does not indicate the vulnerability management process itself has broken down.</w:t>
      </w:r>
    </w:p>
    <w:p>
      <w:pPr>
        <w:shd w:fill="8A5C00" w:val="clear"/>
        <w:spacing w:after="60" w:before="200"/>
      </w:pPr>
      <w:r>
        <w:rPr>
          <w:b/>
          <w:bCs/>
          <w:color w:val="FFFFFF"/>
          <w:sz w:val="21"/>
          <w:szCs w:val="21"/>
        </w:rPr>
        <w:t xml:space="preserve">  NC-04 — MINOR — Overdue Privileged Access Review</w:t>
      </w:r>
    </w:p>
    <w:p>
      <w:pPr>
        <w:spacing w:after="80"/>
      </w:pPr>
      <w:r>
        <w:rPr>
          <w:b/>
          <w:bCs/>
          <w:sz w:val="20"/>
          <w:szCs w:val="20"/>
        </w:rPr>
        <w:t xml:space="preserve">Clause / Control Reference: </w:t>
      </w:r>
      <w:r>
        <w:rPr>
          <w:sz w:val="20"/>
          <w:szCs w:val="20"/>
        </w:rPr>
        <w:t xml:space="preserve">Annex A 5.18 (Access rights)</w:t>
      </w:r>
    </w:p>
    <w:p>
      <w:pPr>
        <w:spacing w:after="80"/>
      </w:pPr>
      <w:r>
        <w:rPr>
          <w:b/>
          <w:bCs/>
          <w:sz w:val="20"/>
          <w:szCs w:val="20"/>
        </w:rPr>
        <w:t xml:space="preserve">Requirement (Criteria): </w:t>
      </w:r>
      <w:r>
        <w:rPr>
          <w:sz w:val="20"/>
          <w:szCs w:val="20"/>
        </w:rPr>
        <w:t xml:space="preserve">The Access Control Policy requires quarterly review of privileged and administrative account access rights, to be completed within 10 business days of quarter-end.</w:t>
      </w:r>
    </w:p>
    <w:p>
      <w:pPr>
        <w:spacing w:after="80"/>
      </w:pPr>
      <w:r>
        <w:rPr>
          <w:b/>
          <w:bCs/>
          <w:sz w:val="20"/>
          <w:szCs w:val="20"/>
        </w:rPr>
        <w:t xml:space="preserve">Evidence: </w:t>
      </w:r>
      <w:r>
        <w:rPr>
          <w:sz w:val="20"/>
          <w:szCs w:val="20"/>
        </w:rPr>
        <w:t xml:space="preserve">Records show the Q1 2026 review was completed on schedule (8 April 2026). The Q2 2026 review, due 14 July 2026, had not been completed at the time of this audit.</w:t>
      </w:r>
    </w:p>
    <w:p>
      <w:pPr>
        <w:spacing w:after="80"/>
      </w:pPr>
      <w:r>
        <w:rPr>
          <w:b/>
          <w:bCs/>
          <w:sz w:val="20"/>
          <w:szCs w:val="20"/>
        </w:rPr>
        <w:t xml:space="preserve">Finding: </w:t>
      </w:r>
      <w:r>
        <w:rPr>
          <w:sz w:val="20"/>
          <w:szCs w:val="20"/>
        </w:rPr>
        <w:t xml:space="preserve">Graded MINOR — this is an isolated, time-bound gap (review overdue by a matter of days at the point of audit) rather than an indication that the access review process itself is not functioning; Q1 2026 evidences the control operating as designed.</w:t>
      </w:r>
    </w:p>
    <w:p>
      <w:pPr>
        <w:spacing w:after="90" w:before="220"/>
      </w:pPr>
      <w:r>
        <w:rPr>
          <w:b/>
          <w:bCs/>
          <w:color w:val="1A5276"/>
          <w:sz w:val="21"/>
          <w:szCs w:val="21"/>
        </w:rPr>
        <w:t xml:space="preserve">Opportunities for Improvement</w:t>
      </w:r>
    </w:p>
    <w:p>
      <w:pPr>
        <w:spacing w:after="80"/>
      </w:pPr>
      <w:r>
        <w:rPr>
          <w:b/>
          <w:bCs/>
          <w:sz w:val="20"/>
          <w:szCs w:val="20"/>
        </w:rPr>
        <w:t xml:space="preserve">OFI-01: </w:t>
      </w:r>
      <w:r>
        <w:rPr>
          <w:sz w:val="20"/>
          <w:szCs w:val="20"/>
        </w:rPr>
        <w:t xml:space="preserve">Consider implementing automated Cloud Security Posture Management (CSPM) tooling to continuously monitor cloud configuration (Annex A 5.23, 8.9), reducing reliance on manual review and the likelihood of undetected misconfiguration.</w:t>
      </w:r>
    </w:p>
    <w:p>
      <w:pPr>
        <w:spacing w:after="80"/>
      </w:pPr>
      <w:r>
        <w:rPr>
          <w:b/>
          <w:bCs/>
          <w:sz w:val="20"/>
          <w:szCs w:val="20"/>
        </w:rPr>
        <w:t xml:space="preserve">OFI-02: </w:t>
      </w:r>
      <w:r>
        <w:rPr>
          <w:sz w:val="20"/>
          <w:szCs w:val="20"/>
        </w:rPr>
        <w:t xml:space="preserve">Consider increasing the frequency of Disaster Recovery tabletop exercises from annual to semi-annual, given the organisation's growing reliance on cloud infrastructure and increasing client-facing SLA commitments (Annex A 5.29, 5.30).</w:t>
      </w:r>
    </w:p>
    <w:p>
      <w:pPr>
        <w:pBdr>
          <w:bottom w:val="single" w:color="1A1A2E" w:sz="8" w:space="4"/>
        </w:pBdr>
        <w:spacing w:after="120" w:before="260"/>
      </w:pPr>
      <w:r>
        <w:rPr>
          <w:b/>
          <w:bCs/>
          <w:color w:val="1A1A2E"/>
          <w:sz w:val="26"/>
          <w:szCs w:val="26"/>
        </w:rPr>
        <w:t xml:space="preserve">5. Areas of Conformity (Sample)</w:t>
      </w:r>
    </w:p>
    <w:p>
      <w:pPr>
        <w:spacing w:after="120"/>
      </w:pPr>
      <w:r>
        <w:rPr>
          <w:sz w:val="20"/>
          <w:szCs w:val="20"/>
        </w:rPr>
        <w:t xml:space="preserve">The following areas were tested during the audit and found to conform to ISO/IEC 27001:2022 requirements:</w:t>
      </w:r>
    </w:p>
    <w:p>
      <w:pPr>
        <w:pStyle w:val="ListParagraph"/>
        <w:numPr>
          <w:ilvl w:val="0"/>
          <w:numId w:val="1"/>
        </w:numPr>
        <w:spacing w:after="70"/>
      </w:pPr>
      <w:r>
        <w:rPr>
          <w:sz w:val="20"/>
          <w:szCs w:val="20"/>
        </w:rPr>
        <w:t xml:space="preserve">Information Security Policy (5.1) — documented, approved by top management, and communicated to all employees.</w:t>
      </w:r>
    </w:p>
    <w:p>
      <w:pPr>
        <w:pStyle w:val="ListParagraph"/>
        <w:numPr>
          <w:ilvl w:val="0"/>
          <w:numId w:val="1"/>
        </w:numPr>
        <w:spacing w:after="70"/>
      </w:pPr>
      <w:r>
        <w:rPr>
          <w:sz w:val="20"/>
          <w:szCs w:val="20"/>
        </w:rPr>
        <w:t xml:space="preserve">Statement of Applicability (6.1.3(d)) — maintained and reflects current risk treatment decisions, with one justified exclusion (control 8.30).</w:t>
      </w:r>
    </w:p>
    <w:p>
      <w:pPr>
        <w:pStyle w:val="ListParagraph"/>
        <w:numPr>
          <w:ilvl w:val="0"/>
          <w:numId w:val="1"/>
        </w:numPr>
        <w:spacing w:after="70"/>
      </w:pPr>
      <w:r>
        <w:rPr>
          <w:sz w:val="20"/>
          <w:szCs w:val="20"/>
        </w:rPr>
        <w:t xml:space="preserve">Access Control Enforcement (5.15, 5.17) — sample testing of 15 Active Directory account-lockout resolution tickets confirmed identity verification was performed prior to access restoration in all cases.</w:t>
      </w:r>
    </w:p>
    <w:p>
      <w:pPr>
        <w:pStyle w:val="ListParagraph"/>
        <w:numPr>
          <w:ilvl w:val="0"/>
          <w:numId w:val="1"/>
        </w:numPr>
        <w:spacing w:after="70"/>
      </w:pPr>
      <w:r>
        <w:rPr>
          <w:sz w:val="20"/>
          <w:szCs w:val="20"/>
        </w:rPr>
        <w:t xml:space="preserve">Endpoint Malware Protection (8.7) — EDR/antivirus confirmed active and reporting on 100% of sampled endpoints (n=25).</w:t>
      </w:r>
    </w:p>
    <w:p>
      <w:pPr>
        <w:pStyle w:val="ListParagraph"/>
        <w:numPr>
          <w:ilvl w:val="0"/>
          <w:numId w:val="1"/>
        </w:numPr>
        <w:spacing w:after="70"/>
      </w:pPr>
      <w:r>
        <w:rPr>
          <w:sz w:val="20"/>
          <w:szCs w:val="20"/>
        </w:rPr>
        <w:t xml:space="preserve">Incident Response (5.24-5.28) — a documented, version-controlled Incident Response Plan exists and was exercised via tabletop simulation in Q1 2026, with lessons learned documented.</w:t>
      </w:r>
    </w:p>
    <w:p>
      <w:pPr>
        <w:pBdr>
          <w:bottom w:val="single" w:color="1A1A2E" w:sz="8" w:space="4"/>
        </w:pBdr>
        <w:spacing w:after="120" w:before="260"/>
      </w:pPr>
      <w:r>
        <w:rPr>
          <w:b/>
          <w:bCs/>
          <w:color w:val="1A1A2E"/>
          <w:sz w:val="26"/>
          <w:szCs w:val="26"/>
        </w:rPr>
        <w:t xml:space="preserve">6. Overall Conclusion</w:t>
      </w:r>
    </w:p>
    <w:p>
      <w:pPr>
        <w:spacing w:after="120"/>
      </w:pPr>
      <w:r>
        <w:rPr>
          <w:sz w:val="20"/>
          <w:szCs w:val="20"/>
        </w:rPr>
        <w:t xml:space="preserve">The ISMS at Certus IT Solutions Pvt. Ltd. is substantially implemented and demonstrates general conformance with ISO/IEC 27001:2022. Core processes — governance, access control, malware protection, and incident management — are operating effectively. One major nonconformity (NC-01) and three minor nonconformities (NC-02, NC-03, NC-04) were identified. None of these findings indicate a fundamental breakdown of the management system as a whole. Subject to satisfactory correction and verification of NC-01, and evidence of corrective action for NC-02 to NC-04, the ISMS is assessed as ready to proceed toward external Stage 1 certification audit.</w:t>
      </w:r>
    </w:p>
    <w:p>
      <w:pPr>
        <w:pBdr>
          <w:bottom w:val="single" w:color="1A1A2E" w:sz="8" w:space="4"/>
        </w:pBdr>
        <w:spacing w:after="120" w:before="260"/>
      </w:pPr>
      <w:r>
        <w:rPr>
          <w:b/>
          <w:bCs/>
          <w:color w:val="1A1A2E"/>
          <w:sz w:val="26"/>
          <w:szCs w:val="26"/>
        </w:rPr>
        <w:t xml:space="preserve">7. Follow-Up and Next Steps</w:t>
      </w:r>
    </w:p>
    <w:p>
      <w:pPr>
        <w:spacing w:after="80"/>
      </w:pPr>
      <w:r>
        <w:rPr>
          <w:b/>
          <w:bCs/>
          <w:sz w:val="20"/>
          <w:szCs w:val="20"/>
        </w:rPr>
        <w:t xml:space="preserve">NC-01 (Major): </w:t>
      </w:r>
      <w:r>
        <w:rPr>
          <w:sz w:val="20"/>
          <w:szCs w:val="20"/>
        </w:rPr>
        <w:t xml:space="preserve">Correction and root-cause corrective action evidence due within 90 days (by 12 October 2026). A follow-up review will verify that a current risk assessment has been completed and reflects the cloud migration and headcount changes noted above.</w:t>
      </w:r>
    </w:p>
    <w:p>
      <w:pPr>
        <w:spacing w:after="80"/>
      </w:pPr>
      <w:r>
        <w:rPr>
          <w:b/>
          <w:bCs/>
          <w:sz w:val="20"/>
          <w:szCs w:val="20"/>
        </w:rPr>
        <w:t xml:space="preserve">NC-02 to NC-04 (Minor): </w:t>
      </w:r>
      <w:r>
        <w:rPr>
          <w:sz w:val="20"/>
          <w:szCs w:val="20"/>
        </w:rPr>
        <w:t xml:space="preserve">Correction and corrective action evidence due within 90 days, to be verified at the next scheduled internal audit or via document review at the Lead Auditor's discretion.</w:t>
      </w:r>
    </w:p>
    <w:p>
      <w:pPr>
        <w:spacing w:after="80"/>
      </w:pPr>
      <w:r>
        <w:rPr>
          <w:b/>
          <w:bCs/>
          <w:sz w:val="20"/>
          <w:szCs w:val="20"/>
        </w:rPr>
        <w:t xml:space="preserve">OFI-01, OFI-02: </w:t>
      </w:r>
      <w:r>
        <w:rPr>
          <w:sz w:val="20"/>
          <w:szCs w:val="20"/>
        </w:rPr>
        <w:t xml:space="preserve">No mandatory action; recommendations to be considered by management at the next Management Review.</w:t>
      </w:r>
    </w:p>
    <w:p>
      <w:pPr>
        <w:pBdr>
          <w:bottom w:val="single" w:color="1A1A2E" w:sz="8" w:space="4"/>
        </w:pBdr>
        <w:spacing w:after="120" w:before="260"/>
      </w:pPr>
      <w:r>
        <w:rPr>
          <w:b/>
          <w:bCs/>
          <w:color w:val="1A1A2E"/>
          <w:sz w:val="26"/>
          <w:szCs w:val="26"/>
        </w:rPr>
        <w:t xml:space="preserve">8. Distribution</w:t>
      </w:r>
    </w:p>
    <w:p>
      <w:pPr>
        <w:spacing w:after="120"/>
      </w:pPr>
      <w:r>
        <w:rPr>
          <w:sz w:val="20"/>
          <w:szCs w:val="20"/>
        </w:rPr>
        <w:t xml:space="preserve">This report is issued to the Certus IT Solutions Board of Directors / Management Representative. It is confidential and not for general circulation.</w:t>
      </w:r>
    </w:p>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2026-07-13T22:37:25.042Z</dcterms:created>
  <dcterms:modified xsi:type="dcterms:W3CDTF">2026-07-13T22:37:25.042Z</dcterms:modified>
</cp:coreProperties>
</file>

<file path=docProps/custom.xml><?xml version="1.0" encoding="utf-8"?>
<Properties xmlns="http://schemas.openxmlformats.org/officeDocument/2006/custom-properties" xmlns:vt="http://schemas.openxmlformats.org/officeDocument/2006/docPropsVTypes"/>
</file>