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1A2E"/>
          <w:sz w:val="30"/>
          <w:szCs w:val="30"/>
        </w:rPr>
        <w:t xml:space="preserve">Certus IT Solutions Pvt. Ltd.</w:t>
      </w:r>
    </w:p>
    <w:p>
      <w:pPr>
        <w:spacing w:after="80"/>
      </w:pPr>
      <w:r>
        <w:rPr>
          <w:color w:val="555555"/>
          <w:sz w:val="22"/>
          <w:szCs w:val="22"/>
        </w:rPr>
        <w:t xml:space="preserve">Vendor Risk Assessment — TestPro QA Services Pvt. Ltd.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Assessment Ref: CERTUS-TPRM-2026-03 | Addresses Risk R-05 in Risk_Register.xlsx | Prepared by: Swapnil Shingte, ISO 27001:2022 Lead Auditor (CQI-IRCA)</w:t>
      </w:r>
    </w:p>
    <w:p>
      <w:pPr>
        <w:spacing w:after="200"/>
      </w:pPr>
      <w:r>
        <w:rPr>
          <w:i/>
          <w:iCs/>
          <w:color w:val="888888"/>
          <w:sz w:val="16"/>
          <w:szCs w:val="16"/>
        </w:rPr>
        <w:t xml:space="preserve">Note: Certus IT Solutions and TestPro QA Services are fictional. This is a portfolio artefact demonstrating a TPRM assessment methodology, built as an extension of the existing Risk_Register.xlsx (Risk R-05).</w:t>
      </w:r>
    </w:p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1. Vendor Profile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Vendor Name: </w:t>
      </w:r>
      <w:r>
        <w:rPr>
          <w:sz w:val="20"/>
          <w:szCs w:val="20"/>
        </w:rPr>
        <w:t xml:space="preserve">TestPro QA Services Pvt. Ltd.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Service Provided: </w:t>
      </w:r>
      <w:r>
        <w:rPr>
          <w:sz w:val="20"/>
          <w:szCs w:val="20"/>
        </w:rPr>
        <w:t xml:space="preserve">Subcontracted functional and regression QA testing for client-facing applications during peak release cycles.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Data / System Access: </w:t>
      </w:r>
      <w:r>
        <w:rPr>
          <w:sz w:val="20"/>
          <w:szCs w:val="20"/>
        </w:rPr>
        <w:t xml:space="preserve">Test environment access only; masked/synthetic datasets derived from production (per control 8.11 — Data Masking). No direct production access.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Related Risk Register Entry: </w:t>
      </w:r>
      <w:r>
        <w:rPr>
          <w:sz w:val="20"/>
          <w:szCs w:val="20"/>
        </w:rPr>
        <w:t xml:space="preserve">R-05 — 'Third-party vendor security breach' — Inherent risk scored High (L3 × I4 = 12); this assessment forms part of the treatment for R-05.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Assessment Trigger: </w:t>
      </w:r>
      <w:r>
        <w:rPr>
          <w:sz w:val="20"/>
          <w:szCs w:val="20"/>
        </w:rPr>
        <w:t xml:space="preserve">Annual reassessment (vendor onboarded 14 months ago; no formal security assessment previously conducted — see Finding TPRM-01 below).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Assessment Date: </w:t>
      </w:r>
      <w:r>
        <w:rPr>
          <w:sz w:val="20"/>
          <w:szCs w:val="20"/>
        </w:rPr>
        <w:t xml:space="preserve">10 July 2026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Assessed By: </w:t>
      </w:r>
      <w:r>
        <w:rPr>
          <w:sz w:val="20"/>
          <w:szCs w:val="20"/>
        </w:rPr>
        <w:t xml:space="preserve">Swapnil Shingte, Vendor Risk Analyst</w:t>
      </w:r>
    </w:p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2. Questionnaire Summary</w:t>
      </w:r>
    </w:p>
    <w:p>
      <w:pPr>
        <w:spacing w:after="120"/>
      </w:pPr>
      <w:r>
        <w:rPr>
          <w:sz w:val="20"/>
          <w:szCs w:val="20"/>
        </w:rPr>
        <w:t xml:space="preserve">The vendor questionnaire (see Vendor_Risk_Assessment_Questionnaire.xlsx) was issued on 1 July 2026. Responses were received on 8 July 2026 and are summarised by section below. Full raw responses are retained separately as assessment evidence.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50"/>
        <w:gridCol w:w="2000"/>
      </w:tblGrid>
      <w:tr>
        <w:tc>
          <w:tcPr>
            <w:tcW w:type="dxa" w:w="2200"/>
            <w:shd w:fill="1A1A2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5150"/>
            <w:shd w:fill="1A1A2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Summary of Response</w:t>
            </w:r>
          </w:p>
        </w:tc>
        <w:tc>
          <w:tcPr>
            <w:tcW w:type="dxa" w:w="2000"/>
            <w:shd w:fill="1A1A2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Flag?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A. General Info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clearly described; one undisclosed sub-processor (offshore test data storage vendor) identified during follow-up questioning, not volunteered initially.</w:t>
            </w:r>
          </w:p>
        </w:tc>
        <w:tc>
          <w:tcPr>
            <w:tcW w:type="dxa" w:w="2000"/>
            <w:shd w:fill="F8D7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B. Data Handling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use of masked test data only; encryption at rest confirmed (AES-256); no formal data retention/deletion policy for test datasets after project completion.</w:t>
            </w:r>
          </w:p>
        </w:tc>
        <w:tc>
          <w:tcPr>
            <w:tcW w:type="dxa" w:w="2000"/>
            <w:shd w:fill="F8D7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C. Access Control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confirmed for test environment; MFA enforced for all staff; access revoked within 2 business days of offboarding (evidenced).</w:t>
            </w:r>
          </w:p>
        </w:tc>
        <w:tc>
          <w:tcPr>
            <w:tcW w:type="dxa" w:w="2000"/>
            <w:shd w:fill="D4ED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D. Certifications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ISO 27001 or SOC 2 certification held. Vendor is a 40-person QA specialist firm; certification not yet pursued.</w:t>
            </w:r>
          </w:p>
        </w:tc>
        <w:tc>
          <w:tcPr>
            <w:tcW w:type="dxa" w:w="2000"/>
            <w:shd w:fill="F8D7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E. Incident Response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documented incident response plan; verbal commitment to notify 'as soon as possible', no defined timeframe.</w:t>
            </w:r>
          </w:p>
        </w:tc>
        <w:tc>
          <w:tcPr>
            <w:tcW w:type="dxa" w:w="2000"/>
            <w:shd w:fill="F8D7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F. Business Continuity</w:t>
            </w:r>
          </w:p>
        </w:tc>
        <w:tc>
          <w:tcPr>
            <w:tcW w:type="dxa" w:w="515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 at high weight — service is not business-critical to Certus operations (test support only, not production-dependent).</w:t>
            </w:r>
          </w:p>
        </w:tc>
        <w:tc>
          <w:tcPr>
            <w:tcW w:type="dxa" w:w="2000"/>
            <w:shd w:fill="D4EDDA" w:val="clea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3. Findings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TPRM-01 — Undisclosed Sub-processor: </w:t>
      </w:r>
      <w:r>
        <w:rPr>
          <w:sz w:val="20"/>
          <w:szCs w:val="20"/>
        </w:rPr>
        <w:t xml:space="preserve">Vendor uses an offshore third party for test data storage that was not disclosed until directly questioned. This is a fourth-party risk that was previously unassessed and unaccounted for in R-05.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TPRM-02 — No Formal Test Data Retention/Deletion Process: </w:t>
      </w:r>
      <w:r>
        <w:rPr>
          <w:sz w:val="20"/>
          <w:szCs w:val="20"/>
        </w:rPr>
        <w:t xml:space="preserve">Masked test datasets may persist on vendor systems beyond project completion with no defined deletion timeline, increasing unnecessary data exposure window.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TPRM-03 — No Recognised Security Certification: </w:t>
      </w:r>
      <w:r>
        <w:rPr>
          <w:sz w:val="20"/>
          <w:szCs w:val="20"/>
        </w:rPr>
        <w:t xml:space="preserve">Vendor holds no ISO 27001, SOC 2, or equivalent certification, and no independent third-party assurance was available to review in its place.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TPRM-04 — No Documented Incident Response Commitment: </w:t>
      </w:r>
      <w:r>
        <w:rPr>
          <w:sz w:val="20"/>
          <w:szCs w:val="20"/>
        </w:rPr>
        <w:t xml:space="preserve">No defined breach notification SLA exists in the current contract or vendor documentation — a material gap given the vendor does handle Certus-derived (albeit masked) data.</w:t>
      </w:r>
    </w:p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4. Risk Rating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Flags Triggered: </w:t>
      </w:r>
      <w:r>
        <w:rPr>
          <w:sz w:val="20"/>
          <w:szCs w:val="20"/>
        </w:rPr>
        <w:t xml:space="preserve">4 of 6 sections flagged (per Vendor_Risk_Assessment_Questionnaire.xlsx scoring guide).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Resulting Action Tier: </w:t>
      </w:r>
      <w:r>
        <w:rPr>
          <w:sz w:val="20"/>
          <w:szCs w:val="20"/>
        </w:rPr>
        <w:t xml:space="preserve">4-5 flags = Escalate to Security/Compliance Lead — additional evidence or compensating controls required before continued engagement.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Assessed Residual Risk: </w:t>
      </w:r>
      <w:r>
        <w:rPr>
          <w:sz w:val="20"/>
          <w:szCs w:val="20"/>
        </w:rPr>
        <w:t xml:space="preserve">Medium (down from High inherent rating in R-05, reflecting that data is masked/synthetic rather than live production data — but not Low, given the undisclosed sub-processor and absent incident response commitment).</w:t>
      </w:r>
    </w:p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5. Recommendation</w:t>
      </w:r>
    </w:p>
    <w:p>
      <w:pPr>
        <w:spacing w:after="120"/>
      </w:pPr>
      <w:r>
        <w:rPr>
          <w:sz w:val="20"/>
          <w:szCs w:val="20"/>
        </w:rPr>
        <w:t xml:space="preserve">Proceed with conditions, not full approval. TestPro QA Services should not be granted continued or expanded access until the following are addressed: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Formal disclosure and assessment of the offshore sub-processor identified in TPRM-01, including its own data handling practices.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A defined test data retention and deletion timeline added to the Statement of Work (addresses TPRM-02).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A written incident/breach notification commitment with a defined timeframe (recommend 48 hours) added to the contract (addresses TPRM-04).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In lieu of formal certification (TPRM-03), request a signed security self-attestation covering the control areas in Sections B-E of the questionnaire, to be re-evaluated at next annual review.</w:t>
      </w:r>
    </w:p>
    <w:p>
      <w:pPr>
        <w:spacing w:after="120"/>
      </w:pPr>
      <w:r>
        <w:rPr>
          <w:sz w:val="20"/>
          <w:szCs w:val="20"/>
        </w:rPr>
        <w:t xml:space="preserve">These conditions should be incorporated into the contract renewal (see Vendor_Risk_Register.xlsx — Status: 'Active — Conditions Applied') with a 90-day compliance deadline and a follow-up review scheduled for October 2026.</w:t>
      </w:r>
    </w:p>
    <w:p>
      <w:pPr>
        <w:pBdr>
          <w:bottom w:val="single" w:color="1A1A2E" w:sz="8" w:space="4"/>
        </w:pBdr>
        <w:spacing w:after="120" w:before="260"/>
      </w:pPr>
      <w:r>
        <w:rPr>
          <w:b/>
          <w:bCs/>
          <w:color w:val="1A1A2E"/>
          <w:sz w:val="26"/>
          <w:szCs w:val="26"/>
        </w:rPr>
        <w:t xml:space="preserve">6. Sign-off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 xml:space="preserve">Swapnil Shingte, Vendor Risk Analyst — 10 July 2026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Reviewed by: </w:t>
      </w:r>
      <w:r>
        <w:rPr>
          <w:sz w:val="20"/>
          <w:szCs w:val="20"/>
        </w:rPr>
        <w:t xml:space="preserve">[Security &amp; Compliance Lead — pending review]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Risk Owner Acceptance of Interim Residual Risk: </w:t>
      </w:r>
      <w:r>
        <w:rPr>
          <w:sz w:val="20"/>
          <w:szCs w:val="20"/>
        </w:rPr>
        <w:t xml:space="preserve">[Pending — required before contract renewal is finalised, per Clause 6.1.3 risk owner sign-off requirement]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2026-07-15T11:25:47.030Z</dcterms:created>
  <dcterms:modified xsi:type="dcterms:W3CDTF">2026-07-15T11:25:47.039Z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