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A1A2E"/>
          <w:sz w:val="30"/>
          <w:szCs w:val="30"/>
        </w:rPr>
        <w:t xml:space="preserve">Certus IT Solutions Pvt. Ltd.</w:t>
      </w:r>
    </w:p>
    <w:p>
      <w:pPr>
        <w:spacing w:after="80"/>
      </w:pPr>
      <w:r>
        <w:rPr>
          <w:color w:val="555555"/>
          <w:sz w:val="22"/>
          <w:szCs w:val="22"/>
        </w:rPr>
        <w:t xml:space="preserve">Third-Party Risk Management (TPRM) Policy &amp; Procedure</w:t>
      </w:r>
    </w:p>
    <w:p>
      <w:pPr>
        <w:spacing w:after="200"/>
      </w:pPr>
      <w:r>
        <w:rPr>
          <w:i/>
          <w:iCs/>
          <w:color w:val="555555"/>
          <w:sz w:val="16"/>
          <w:szCs w:val="16"/>
        </w:rPr>
        <w:t xml:space="preserve">ISO/IEC 27001:2022 Annex A 5.19-5.23 | Prepared by: Swapnil Shingte, Lead Auditor (CQI-IRCA) | Version 1.0 | July 2026</w:t>
      </w:r>
    </w:p>
    <w:p>
      <w:pPr>
        <w:spacing w:after="200"/>
      </w:pPr>
      <w:r>
        <w:rPr>
          <w:i/>
          <w:iCs/>
          <w:color w:val="888888"/>
          <w:sz w:val="16"/>
          <w:szCs w:val="16"/>
        </w:rPr>
        <w:t xml:space="preserve">Note: Certus IT Solutions Pvt. Ltd. is a fictional company. This policy is a portfolio artefact demonstrating a practical TPRM lifecycle design.</w:t>
      </w:r>
    </w:p>
    <w:p>
      <w:pPr>
        <w:pBdr>
          <w:bottom w:val="single" w:color="1A1A2E" w:sz="8" w:space="4"/>
        </w:pBdr>
        <w:spacing w:after="120" w:before="260"/>
      </w:pPr>
      <w:r>
        <w:rPr>
          <w:b/>
          <w:bCs/>
          <w:color w:val="1A1A2E"/>
          <w:sz w:val="26"/>
          <w:szCs w:val="26"/>
        </w:rPr>
        <w:t xml:space="preserve">1. Purpose</w:t>
      </w:r>
    </w:p>
    <w:p>
      <w:pPr>
        <w:spacing w:after="120"/>
      </w:pPr>
      <w:r>
        <w:rPr>
          <w:sz w:val="20"/>
          <w:szCs w:val="20"/>
        </w:rPr>
        <w:t xml:space="preserve">This policy defines how Certus IT Solutions identifies, assesses, and manages information security risk arising from third-party vendors, suppliers, and subcontractors with access to Certus or client systems and data. It exists because Certus's own security posture is only as strong as the weakest vendor with access to its environment — a principle directly reflected in Annex A controls 5.19 through 5.23.</w:t>
      </w:r>
    </w:p>
    <w:p>
      <w:pPr>
        <w:pBdr>
          <w:bottom w:val="single" w:color="1A1A2E" w:sz="8" w:space="4"/>
        </w:pBdr>
        <w:spacing w:after="120" w:before="260"/>
      </w:pPr>
      <w:r>
        <w:rPr>
          <w:b/>
          <w:bCs/>
          <w:color w:val="1A1A2E"/>
          <w:sz w:val="26"/>
          <w:szCs w:val="26"/>
        </w:rPr>
        <w:t xml:space="preserve">2. Scope</w:t>
      </w:r>
    </w:p>
    <w:p>
      <w:pPr>
        <w:spacing w:after="120"/>
      </w:pPr>
      <w:r>
        <w:rPr>
          <w:sz w:val="20"/>
          <w:szCs w:val="20"/>
        </w:rPr>
        <w:t xml:space="preserve">This policy applies to any third party that: processes, stores, or transmits Certus or client data; has access to Certus systems, networks, or facilities; or provides a service whose failure would materially affect Certus's ability to deliver contracted services. It covers the full vendor lifecycle from initial engagement through offboarding.</w:t>
      </w:r>
    </w:p>
    <w:p>
      <w:pPr>
        <w:pBdr>
          <w:bottom w:val="single" w:color="1A1A2E" w:sz="8" w:space="4"/>
        </w:pBdr>
        <w:spacing w:after="120" w:before="260"/>
      </w:pPr>
      <w:r>
        <w:rPr>
          <w:b/>
          <w:bCs/>
          <w:color w:val="1A1A2E"/>
          <w:sz w:val="26"/>
          <w:szCs w:val="26"/>
        </w:rPr>
        <w:t xml:space="preserve">3. Roles and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A1A2E" w:val="clear"/>
          </w:tcPr>
          <w:p>
            <w:r>
              <w:rPr>
                <w:b/>
                <w:bCs/>
                <w:color w:val="FFFFFF"/>
                <w:sz w:val="18"/>
                <w:szCs w:val="18"/>
              </w:rPr>
              <w:t xml:space="preserve">Role</w:t>
            </w:r>
          </w:p>
        </w:tc>
        <w:tc>
          <w:tcPr>
            <w:tcW w:type="dxa" w:w="6350"/>
            <w:shd w:fill="1A1A2E" w:val="clear"/>
          </w:tcPr>
          <w:p>
            <w:r>
              <w:rPr>
                <w:b/>
                <w:bCs/>
                <w:color w:val="FFFFFF"/>
                <w:sz w:val="18"/>
                <w:szCs w:val="18"/>
              </w:rPr>
              <w:t xml:space="preserve">Responsibility</w:t>
            </w:r>
          </w:p>
        </w:tc>
      </w:tr>
      <w:tr>
        <w:tc>
          <w:tcPr>
            <w:tcW w:type="dxa" w:w="3000"/>
          </w:tcPr>
          <w:p>
            <w:r>
              <w:rPr>
                <w:b w:val="false"/>
                <w:bCs w:val="false"/>
                <w:color w:val="000000"/>
                <w:sz w:val="18"/>
                <w:szCs w:val="18"/>
              </w:rPr>
              <w:t xml:space="preserve">Vendor Risk Analyst</w:t>
            </w:r>
          </w:p>
        </w:tc>
        <w:tc>
          <w:tcPr>
            <w:tcW w:type="dxa" w:w="6350"/>
          </w:tcPr>
          <w:p>
            <w:r>
              <w:rPr>
                <w:b w:val="false"/>
                <w:bCs w:val="false"/>
                <w:color w:val="000000"/>
                <w:sz w:val="18"/>
                <w:szCs w:val="18"/>
              </w:rPr>
              <w:t xml:space="preserve">Conducts vendor risk assessments, maintains the Vendor Risk Register, tracks remediation to closure</w:t>
            </w:r>
          </w:p>
        </w:tc>
      </w:tr>
      <w:tr>
        <w:tc>
          <w:tcPr>
            <w:tcW w:type="dxa" w:w="3000"/>
          </w:tcPr>
          <w:p>
            <w:r>
              <w:rPr>
                <w:b w:val="false"/>
                <w:bCs w:val="false"/>
                <w:color w:val="000000"/>
                <w:sz w:val="18"/>
                <w:szCs w:val="18"/>
              </w:rPr>
              <w:t xml:space="preserve">Business Owner</w:t>
            </w:r>
          </w:p>
        </w:tc>
        <w:tc>
          <w:tcPr>
            <w:tcW w:type="dxa" w:w="6350"/>
          </w:tcPr>
          <w:p>
            <w:r>
              <w:rPr>
                <w:b w:val="false"/>
                <w:bCs w:val="false"/>
                <w:color w:val="000000"/>
                <w:sz w:val="18"/>
                <w:szCs w:val="18"/>
              </w:rPr>
              <w:t xml:space="preserve">Identifies the need for a new vendor, provides business context, ensures vendor requirements are communicated</w:t>
            </w:r>
          </w:p>
        </w:tc>
      </w:tr>
      <w:tr>
        <w:tc>
          <w:tcPr>
            <w:tcW w:type="dxa" w:w="3000"/>
          </w:tcPr>
          <w:p>
            <w:r>
              <w:rPr>
                <w:b w:val="false"/>
                <w:bCs w:val="false"/>
                <w:color w:val="000000"/>
                <w:sz w:val="18"/>
                <w:szCs w:val="18"/>
              </w:rPr>
              <w:t xml:space="preserve">Security &amp; Compliance Lead</w:t>
            </w:r>
          </w:p>
        </w:tc>
        <w:tc>
          <w:tcPr>
            <w:tcW w:type="dxa" w:w="6350"/>
          </w:tcPr>
          <w:p>
            <w:r>
              <w:rPr>
                <w:b w:val="false"/>
                <w:bCs w:val="false"/>
                <w:color w:val="000000"/>
                <w:sz w:val="18"/>
                <w:szCs w:val="18"/>
              </w:rPr>
              <w:t xml:space="preserve">Reviews escalated findings (4+ risk flags), approves conditional onboarding, escalates to risk owners where required</w:t>
            </w:r>
          </w:p>
        </w:tc>
      </w:tr>
      <w:tr>
        <w:tc>
          <w:tcPr>
            <w:tcW w:type="dxa" w:w="3000"/>
          </w:tcPr>
          <w:p>
            <w:r>
              <w:rPr>
                <w:b w:val="false"/>
                <w:bCs w:val="false"/>
                <w:color w:val="000000"/>
                <w:sz w:val="18"/>
                <w:szCs w:val="18"/>
              </w:rPr>
              <w:t xml:space="preserve">Legal / Procurement</w:t>
            </w:r>
          </w:p>
        </w:tc>
        <w:tc>
          <w:tcPr>
            <w:tcW w:type="dxa" w:w="6350"/>
          </w:tcPr>
          <w:p>
            <w:r>
              <w:rPr>
                <w:b w:val="false"/>
                <w:bCs w:val="false"/>
                <w:color w:val="000000"/>
                <w:sz w:val="18"/>
                <w:szCs w:val="18"/>
              </w:rPr>
              <w:t xml:space="preserve">Ensures security clauses and right-to-audit provisions are included in vendor contracts</w:t>
            </w:r>
          </w:p>
        </w:tc>
      </w:tr>
      <w:tr>
        <w:tc>
          <w:tcPr>
            <w:tcW w:type="dxa" w:w="3000"/>
          </w:tcPr>
          <w:p>
            <w:r>
              <w:rPr>
                <w:b w:val="false"/>
                <w:bCs w:val="false"/>
                <w:color w:val="000000"/>
                <w:sz w:val="18"/>
                <w:szCs w:val="18"/>
              </w:rPr>
              <w:t xml:space="preserve">Risk Owner</w:t>
            </w:r>
          </w:p>
        </w:tc>
        <w:tc>
          <w:tcPr>
            <w:tcW w:type="dxa" w:w="6350"/>
          </w:tcPr>
          <w:p>
            <w:r>
              <w:rPr>
                <w:b w:val="false"/>
                <w:bCs w:val="false"/>
                <w:color w:val="000000"/>
                <w:sz w:val="18"/>
                <w:szCs w:val="18"/>
              </w:rPr>
              <w:t xml:space="preserve">Formally accepts residual risk for Critical/High tier vendors where conditions cannot be fully remediated</w:t>
            </w:r>
          </w:p>
        </w:tc>
      </w:tr>
    </w:tbl>
    <w:p>
      <w:pPr>
        <w:pBdr>
          <w:bottom w:val="single" w:color="1A1A2E" w:sz="8" w:space="4"/>
        </w:pBdr>
        <w:spacing w:after="120" w:before="260"/>
      </w:pPr>
      <w:r>
        <w:rPr>
          <w:b/>
          <w:bCs/>
          <w:color w:val="1A1A2E"/>
          <w:sz w:val="26"/>
          <w:szCs w:val="26"/>
        </w:rPr>
        <w:t xml:space="preserve">4. The TPRM Lifecycle</w:t>
      </w:r>
    </w:p>
    <w:p>
      <w:pPr>
        <w:spacing w:after="60" w:before="140"/>
      </w:pPr>
      <w:r>
        <w:rPr>
          <w:b/>
          <w:bCs/>
          <w:color w:val="4A235A"/>
          <w:sz w:val="21"/>
          <w:szCs w:val="21"/>
        </w:rPr>
        <w:t xml:space="preserve">4.1. Identification</w:t>
      </w:r>
    </w:p>
    <w:p>
      <w:pPr>
        <w:spacing w:after="100"/>
      </w:pPr>
      <w:r>
        <w:rPr>
          <w:sz w:val="20"/>
          <w:szCs w:val="20"/>
        </w:rPr>
        <w:t xml:space="preserve">Any new vendor with data or system access must be logged by the Business Owner before engagement begins, using the intake fields defined in Vendor_Risk_Register.xlsx (service provided, data/system access level, sub-processors).</w:t>
      </w:r>
    </w:p>
    <w:p>
      <w:pPr>
        <w:spacing w:after="60" w:before="140"/>
      </w:pPr>
      <w:r>
        <w:rPr>
          <w:b/>
          <w:bCs/>
          <w:color w:val="4A235A"/>
          <w:sz w:val="21"/>
          <w:szCs w:val="21"/>
        </w:rPr>
        <w:t xml:space="preserve">4.2. Classification</w:t>
      </w:r>
    </w:p>
    <w:p>
      <w:pPr>
        <w:spacing w:after="100"/>
      </w:pPr>
      <w:r>
        <w:rPr>
          <w:sz w:val="20"/>
          <w:szCs w:val="20"/>
        </w:rPr>
        <w:t xml:space="preserve">The Vendor Risk Analyst assigns a risk tier (Critical / High / Medium / Low) based on data sensitivity and access level, per the methodology defined in the 'Tiering Methodology' sheet of Vendor_Risk_Register.xlsx. Tier determines assessment depth and frequency.</w:t>
      </w:r>
    </w:p>
    <w:p>
      <w:pPr>
        <w:spacing w:after="60" w:before="140"/>
      </w:pPr>
      <w:r>
        <w:rPr>
          <w:b/>
          <w:bCs/>
          <w:color w:val="4A235A"/>
          <w:sz w:val="21"/>
          <w:szCs w:val="21"/>
        </w:rPr>
        <w:t xml:space="preserve">4.3. Assessment</w:t>
      </w:r>
    </w:p>
    <w:p>
      <w:pPr>
        <w:spacing w:after="100"/>
      </w:pPr>
      <w:r>
        <w:rPr>
          <w:sz w:val="20"/>
          <w:szCs w:val="20"/>
        </w:rPr>
        <w:t xml:space="preserve">The vendor completes the Vendor Risk Assessment Questionnaire (Vendor_Risk_Assessment_Questionnaire.xlsx). Responses are scored against defined risk flags; the resulting flag count determines the escalation path (see Questionnaire 'Scoring Guide' sheet). A full assessment report is produced for Critical and High tier vendors (see Sample_Vendor_Assessment_Report.docx for the reference format).</w:t>
      </w:r>
    </w:p>
    <w:p>
      <w:pPr>
        <w:spacing w:after="60" w:before="140"/>
      </w:pPr>
      <w:r>
        <w:rPr>
          <w:b/>
          <w:bCs/>
          <w:color w:val="4A235A"/>
          <w:sz w:val="21"/>
          <w:szCs w:val="21"/>
        </w:rPr>
        <w:t xml:space="preserve">4.4. Contractual Controls</w:t>
      </w:r>
    </w:p>
    <w:p>
      <w:pPr>
        <w:spacing w:after="100"/>
      </w:pPr>
      <w:r>
        <w:rPr>
          <w:sz w:val="20"/>
          <w:szCs w:val="20"/>
        </w:rPr>
        <w:t xml:space="preserve">Security requirements identified during assessment — data protection clauses, breach notification timeframes, right-to-audit — must be reflected in the vendor contract before onboarding is finalised (Annex A 5.20). Contracts for Critical/High tier vendors are not signed without Security &amp; Compliance Lead sign-off.</w:t>
      </w:r>
    </w:p>
    <w:p>
      <w:pPr>
        <w:spacing w:after="60" w:before="140"/>
      </w:pPr>
      <w:r>
        <w:rPr>
          <w:b/>
          <w:bCs/>
          <w:color w:val="4A235A"/>
          <w:sz w:val="21"/>
          <w:szCs w:val="21"/>
        </w:rPr>
        <w:t xml:space="preserve">4.5. Onboarding</w:t>
      </w:r>
    </w:p>
    <w:p>
      <w:pPr>
        <w:spacing w:after="100"/>
      </w:pPr>
      <w:r>
        <w:rPr>
          <w:sz w:val="20"/>
          <w:szCs w:val="20"/>
        </w:rPr>
        <w:t xml:space="preserve">Access is provisioned only after contractual controls are confirmed in place. Vendor entry in Vendor_Risk_Register.xlsx is updated to 'Active' status with assessment date and next review date recorded.</w:t>
      </w:r>
    </w:p>
    <w:p>
      <w:pPr>
        <w:spacing w:after="60" w:before="140"/>
      </w:pPr>
      <w:r>
        <w:rPr>
          <w:b/>
          <w:bCs/>
          <w:color w:val="4A235A"/>
          <w:sz w:val="21"/>
          <w:szCs w:val="21"/>
        </w:rPr>
        <w:t xml:space="preserve">4.6. Ongoing Monitoring</w:t>
      </w:r>
    </w:p>
    <w:p>
      <w:pPr>
        <w:spacing w:after="100"/>
      </w:pPr>
      <w:r>
        <w:rPr>
          <w:sz w:val="20"/>
          <w:szCs w:val="20"/>
        </w:rPr>
        <w:t xml:space="preserve">Critical and High tier vendors are reassessed annually at minimum, or sooner if: a security incident involving the vendor occurs; the scope of access changes; or the vendor's certification status lapses. Medium tier vendors are reassessed every 18 months; Low tier vendors are reviewed at contract renewal only.</w:t>
      </w:r>
    </w:p>
    <w:p>
      <w:pPr>
        <w:spacing w:after="60" w:before="140"/>
      </w:pPr>
      <w:r>
        <w:rPr>
          <w:b/>
          <w:bCs/>
          <w:color w:val="4A235A"/>
          <w:sz w:val="21"/>
          <w:szCs w:val="21"/>
        </w:rPr>
        <w:t xml:space="preserve">4.7. Offboarding</w:t>
      </w:r>
    </w:p>
    <w:p>
      <w:pPr>
        <w:spacing w:after="100"/>
      </w:pPr>
      <w:r>
        <w:rPr>
          <w:sz w:val="20"/>
          <w:szCs w:val="20"/>
        </w:rPr>
        <w:t xml:space="preserve">When a vendor relationship ends, access must be revoked and confirmed within 2 business days. Any Certus or client data held by the vendor must be returned or securely destroyed, with written confirmation retained as evidence.</w:t>
      </w:r>
    </w:p>
    <w:p>
      <w:pPr>
        <w:pBdr>
          <w:bottom w:val="single" w:color="1A1A2E" w:sz="8" w:space="4"/>
        </w:pBdr>
        <w:spacing w:after="120" w:before="260"/>
      </w:pPr>
      <w:r>
        <w:rPr>
          <w:b/>
          <w:bCs/>
          <w:color w:val="1A1A2E"/>
          <w:sz w:val="26"/>
          <w:szCs w:val="26"/>
        </w:rPr>
        <w:t xml:space="preserve">5. Risk Acceptance</w:t>
      </w:r>
    </w:p>
    <w:p>
      <w:pPr>
        <w:spacing w:after="120"/>
      </w:pPr>
      <w:r>
        <w:rPr>
          <w:sz w:val="20"/>
          <w:szCs w:val="20"/>
        </w:rPr>
        <w:t xml:space="preserve">Where a Critical or High tier vendor cannot fully remediate an identified gap, the residual risk must be formally accepted by a designated risk owner before the relationship proceeds or continues, consistent with the risk acceptance requirement in Clause 6.1.3 of ISO/IEC 27001:2022. Verbal or implied acceptance is not sufficient — acceptance must be documented in the Vendor Risk Register.</w:t>
      </w:r>
    </w:p>
    <w:p>
      <w:pPr>
        <w:pBdr>
          <w:bottom w:val="single" w:color="1A1A2E" w:sz="8" w:space="4"/>
        </w:pBdr>
        <w:spacing w:after="120" w:before="260"/>
      </w:pPr>
      <w:r>
        <w:rPr>
          <w:b/>
          <w:bCs/>
          <w:color w:val="1A1A2E"/>
          <w:sz w:val="26"/>
          <w:szCs w:val="26"/>
        </w:rPr>
        <w:t xml:space="preserve">6. Annex A Control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A1A2E" w:val="clear"/>
          </w:tcPr>
          <w:p>
            <w:r>
              <w:rPr>
                <w:b/>
                <w:bCs/>
                <w:color w:val="FFFFFF"/>
                <w:sz w:val="18"/>
                <w:szCs w:val="18"/>
              </w:rPr>
              <w:t xml:space="preserve">Control</w:t>
            </w:r>
          </w:p>
        </w:tc>
        <w:tc>
          <w:tcPr>
            <w:tcW w:type="dxa" w:w="7150"/>
            <w:shd w:fill="1A1A2E" w:val="clear"/>
          </w:tcPr>
          <w:p>
            <w:r>
              <w:rPr>
                <w:b/>
                <w:bCs/>
                <w:color w:val="FFFFFF"/>
                <w:sz w:val="18"/>
                <w:szCs w:val="18"/>
              </w:rPr>
              <w:t xml:space="preserve">How this policy addresses it</w:t>
            </w:r>
          </w:p>
        </w:tc>
      </w:tr>
      <w:tr>
        <w:tc>
          <w:tcPr>
            <w:tcW w:type="dxa" w:w="2200"/>
          </w:tcPr>
          <w:p>
            <w:r>
              <w:rPr>
                <w:b w:val="false"/>
                <w:bCs w:val="false"/>
                <w:color w:val="000000"/>
                <w:sz w:val="18"/>
                <w:szCs w:val="18"/>
              </w:rPr>
              <w:t xml:space="preserve">5.19</w:t>
            </w:r>
          </w:p>
        </w:tc>
        <w:tc>
          <w:tcPr>
            <w:tcW w:type="dxa" w:w="7150"/>
          </w:tcPr>
          <w:p>
            <w:r>
              <w:rPr>
                <w:b w:val="false"/>
                <w:bCs w:val="false"/>
                <w:color w:val="000000"/>
                <w:sz w:val="18"/>
                <w:szCs w:val="18"/>
              </w:rPr>
              <w:t xml:space="preserve">Defines the overall approach to supplier relationship risk (this policy)</w:t>
            </w:r>
          </w:p>
        </w:tc>
      </w:tr>
      <w:tr>
        <w:tc>
          <w:tcPr>
            <w:tcW w:type="dxa" w:w="2200"/>
          </w:tcPr>
          <w:p>
            <w:r>
              <w:rPr>
                <w:b w:val="false"/>
                <w:bCs w:val="false"/>
                <w:color w:val="000000"/>
                <w:sz w:val="18"/>
                <w:szCs w:val="18"/>
              </w:rPr>
              <w:t xml:space="preserve">5.20</w:t>
            </w:r>
          </w:p>
        </w:tc>
        <w:tc>
          <w:tcPr>
            <w:tcW w:type="dxa" w:w="7150"/>
          </w:tcPr>
          <w:p>
            <w:r>
              <w:rPr>
                <w:b w:val="false"/>
                <w:bCs w:val="false"/>
                <w:color w:val="000000"/>
                <w:sz w:val="18"/>
                <w:szCs w:val="18"/>
              </w:rPr>
              <w:t xml:space="preserve">Section 4.4 — security requirements built into vendor contracts</w:t>
            </w:r>
          </w:p>
        </w:tc>
      </w:tr>
      <w:tr>
        <w:tc>
          <w:tcPr>
            <w:tcW w:type="dxa" w:w="2200"/>
          </w:tcPr>
          <w:p>
            <w:r>
              <w:rPr>
                <w:b w:val="false"/>
                <w:bCs w:val="false"/>
                <w:color w:val="000000"/>
                <w:sz w:val="18"/>
                <w:szCs w:val="18"/>
              </w:rPr>
              <w:t xml:space="preserve">5.21</w:t>
            </w:r>
          </w:p>
        </w:tc>
        <w:tc>
          <w:tcPr>
            <w:tcW w:type="dxa" w:w="7150"/>
          </w:tcPr>
          <w:p>
            <w:r>
              <w:rPr>
                <w:b w:val="false"/>
                <w:bCs w:val="false"/>
                <w:color w:val="000000"/>
                <w:sz w:val="18"/>
                <w:szCs w:val="18"/>
              </w:rPr>
              <w:t xml:space="preserve">Section 4.1/4.3 — sub-processor (ICT supply chain) disclosure required during assessment</w:t>
            </w:r>
          </w:p>
        </w:tc>
      </w:tr>
      <w:tr>
        <w:tc>
          <w:tcPr>
            <w:tcW w:type="dxa" w:w="2200"/>
          </w:tcPr>
          <w:p>
            <w:r>
              <w:rPr>
                <w:b w:val="false"/>
                <w:bCs w:val="false"/>
                <w:color w:val="000000"/>
                <w:sz w:val="18"/>
                <w:szCs w:val="18"/>
              </w:rPr>
              <w:t xml:space="preserve">5.22</w:t>
            </w:r>
          </w:p>
        </w:tc>
        <w:tc>
          <w:tcPr>
            <w:tcW w:type="dxa" w:w="7150"/>
          </w:tcPr>
          <w:p>
            <w:r>
              <w:rPr>
                <w:b w:val="false"/>
                <w:bCs w:val="false"/>
                <w:color w:val="000000"/>
                <w:sz w:val="18"/>
                <w:szCs w:val="18"/>
              </w:rPr>
              <w:t xml:space="preserve">Section 4.6 — ongoing monitoring and periodic reassessment by tier</w:t>
            </w:r>
          </w:p>
        </w:tc>
      </w:tr>
      <w:tr>
        <w:tc>
          <w:tcPr>
            <w:tcW w:type="dxa" w:w="2200"/>
          </w:tcPr>
          <w:p>
            <w:r>
              <w:rPr>
                <w:b w:val="false"/>
                <w:bCs w:val="false"/>
                <w:color w:val="000000"/>
                <w:sz w:val="18"/>
                <w:szCs w:val="18"/>
              </w:rPr>
              <w:t xml:space="preserve">5.23</w:t>
            </w:r>
          </w:p>
        </w:tc>
        <w:tc>
          <w:tcPr>
            <w:tcW w:type="dxa" w:w="7150"/>
          </w:tcPr>
          <w:p>
            <w:r>
              <w:rPr>
                <w:b w:val="false"/>
                <w:bCs w:val="false"/>
                <w:color w:val="000000"/>
                <w:sz w:val="18"/>
                <w:szCs w:val="18"/>
              </w:rPr>
              <w:t xml:space="preserve">Cloud vendors (e.g. AWS, Azure) assessed under this same lifecycle, with shared-responsibility scope documented at assessment</w:t>
            </w:r>
          </w:p>
        </w:tc>
      </w:tr>
    </w:tbl>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2026-07-15T18:21:23.314Z</dcterms:created>
  <dcterms:modified xsi:type="dcterms:W3CDTF">2026-07-15T18:21:23.328Z</dcterms:modified>
</cp:coreProperties>
</file>

<file path=docProps/custom.xml><?xml version="1.0" encoding="utf-8"?>
<Properties xmlns="http://schemas.openxmlformats.org/officeDocument/2006/custom-properties" xmlns:vt="http://schemas.openxmlformats.org/officeDocument/2006/docPropsVTypes"/>
</file>