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 — Credit Card Fraud Detection</w:t>
      </w:r>
    </w:p>
    <w:p>
      <w:pPr>
        <w:jc w:val="center"/>
      </w:pPr>
      <w:r>
        <w:t>FraudGuard AI Platform | Enterprise AI Application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Arial" w:hAnsi="Arial"/>
                <w:sz w:val="18"/>
              </w:rPr>
              <w:t>Credit Card Fraud Detection Using Anomaly Detection</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Arial" w:hAnsi="Arial"/>
                <w:sz w:val="18"/>
              </w:rPr>
              <w:t>32</w:t>
            </w:r>
          </w:p>
        </w:tc>
      </w:tr>
      <w:tr>
        <w:tc>
          <w:tcPr>
            <w:tcW w:type="dxa" w:w="3168"/>
            <w:shd w:val="clear" w:color="auto" w:fill="D9C3F0"/>
          </w:tcPr>
          <w:p>
            <w:r>
              <w:rPr>
                <w:rFonts w:ascii="Arial" w:hAnsi="Arial"/>
                <w:b/>
                <w:sz w:val="18"/>
              </w:rPr>
              <w:t>Domain</w:t>
            </w:r>
          </w:p>
        </w:tc>
        <w:tc>
          <w:tcPr>
            <w:tcW w:type="dxa" w:w="6480"/>
            <w:shd w:val="clear" w:color="auto" w:fill="FFFFFF"/>
          </w:tcPr>
          <w:p>
            <w:r>
              <w:rPr>
                <w:rFonts w:ascii="Arial" w:hAnsi="Arial"/>
                <w:sz w:val="18"/>
              </w:rPr>
              <w:t>Digital-Data-AI / AIML</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Arial" w:hAnsi="Arial"/>
                <w:sz w:val="18"/>
              </w:rPr>
              <w:t>Advanced</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Arial" w:hAnsi="Arial"/>
                <w:b/>
                <w:sz w:val="18"/>
              </w:rPr>
              <w:t>Learner Name</w:t>
            </w:r>
          </w:p>
        </w:tc>
        <w:tc>
          <w:tcPr>
            <w:tcW w:type="dxa" w:w="6480"/>
            <w:shd w:val="clear" w:color="auto" w:fill="FFFFFF"/>
            <w:vAlign w:val="center"/>
          </w:tcPr>
          <w:p>
            <w:pPr>
              <w:spacing w:after="20"/>
            </w:pPr>
            <w:r/>
            <w:r>
              <w:rPr>
                <w:b w:val="0"/>
                <w:sz w:val="18"/>
              </w:rPr>
              <w:t>Swapnil Bhardwaj</w:t>
            </w:r>
          </w:p>
        </w:tc>
      </w:tr>
      <w:tr>
        <w:tc>
          <w:tcPr>
            <w:tcW w:type="dxa" w:w="3168"/>
            <w:shd w:val="clear" w:color="auto" w:fill="D9C3F0"/>
          </w:tcPr>
          <w:p>
            <w:r>
              <w:rPr>
                <w:rFonts w:ascii="Arial" w:hAnsi="Arial"/>
                <w:b/>
                <w:sz w:val="18"/>
              </w:rPr>
              <w:t>Roll Number</w:t>
            </w:r>
          </w:p>
        </w:tc>
        <w:tc>
          <w:tcPr>
            <w:tcW w:type="dxa" w:w="6480"/>
            <w:shd w:val="clear" w:color="auto" w:fill="FFFFFF"/>
            <w:vAlign w:val="center"/>
          </w:tcPr>
          <w:p>
            <w:pPr>
              <w:spacing w:after="20"/>
            </w:pPr>
            <w:r/>
            <w:r>
              <w:rPr>
                <w:b w:val="0"/>
                <w:sz w:val="18"/>
              </w:rPr>
              <w:t>[ENTER ROLL NUMBER]</w:t>
            </w:r>
          </w:p>
        </w:tc>
      </w:tr>
      <w:tr>
        <w:tc>
          <w:tcPr>
            <w:tcW w:type="dxa" w:w="3168"/>
            <w:shd w:val="clear" w:color="auto" w:fill="D9C3F0"/>
          </w:tcPr>
          <w:p>
            <w:r>
              <w:rPr>
                <w:rFonts w:ascii="Arial" w:hAnsi="Arial"/>
                <w:b/>
                <w:sz w:val="18"/>
              </w:rPr>
              <w:t>College / Campus</w:t>
            </w:r>
          </w:p>
        </w:tc>
        <w:tc>
          <w:tcPr>
            <w:tcW w:type="dxa" w:w="6480"/>
            <w:shd w:val="clear" w:color="auto" w:fill="FFFFFF"/>
            <w:vAlign w:val="center"/>
          </w:tcPr>
          <w:p>
            <w:pPr>
              <w:spacing w:after="20"/>
            </w:pPr>
            <w:r/>
            <w:r>
              <w:rPr>
                <w:b w:val="0"/>
                <w:sz w:val="18"/>
              </w:rPr>
              <w:t>ABES Engineering College</w:t>
            </w:r>
          </w:p>
        </w:tc>
      </w:tr>
      <w:tr>
        <w:tc>
          <w:tcPr>
            <w:tcW w:type="dxa" w:w="3168"/>
            <w:shd w:val="clear" w:color="auto" w:fill="D9C3F0"/>
          </w:tcPr>
          <w:p>
            <w:r>
              <w:rPr>
                <w:rFonts w:ascii="Arial" w:hAnsi="Arial"/>
                <w:b/>
                <w:sz w:val="18"/>
              </w:rPr>
              <w:t>Mentor Name</w:t>
            </w:r>
          </w:p>
        </w:tc>
        <w:tc>
          <w:tcPr>
            <w:tcW w:type="dxa" w:w="6480"/>
            <w:shd w:val="clear" w:color="auto" w:fill="FFFFFF"/>
            <w:vAlign w:val="center"/>
          </w:tcPr>
          <w:p>
            <w:pPr>
              <w:spacing w:after="20"/>
            </w:pPr>
            <w:r/>
            <w:r>
              <w:rPr>
                <w:b w:val="0"/>
                <w:sz w:val="18"/>
              </w:rPr>
              <w:t>[ENTER MENTOR NAME]</w:t>
            </w:r>
          </w:p>
        </w:tc>
      </w:tr>
      <w:tr>
        <w:tc>
          <w:tcPr>
            <w:tcW w:type="dxa" w:w="3168"/>
            <w:shd w:val="clear" w:color="auto" w:fill="D9C3F0"/>
          </w:tcPr>
          <w:p>
            <w:r>
              <w:rPr>
                <w:rFonts w:ascii="Arial" w:hAnsi="Arial"/>
                <w:b/>
                <w:sz w:val="18"/>
              </w:rPr>
              <w:t>Submission Date</w:t>
            </w:r>
          </w:p>
        </w:tc>
        <w:tc>
          <w:tcPr>
            <w:tcW w:type="dxa" w:w="6480"/>
            <w:shd w:val="clear" w:color="auto" w:fill="FFFFFF"/>
            <w:vAlign w:val="center"/>
          </w:tcPr>
          <w:p>
            <w:pPr>
              <w:spacing w:after="20"/>
            </w:pPr>
            <w:r/>
            <w:r>
              <w:rPr>
                <w:b w:val="0"/>
                <w:sz w:val="18"/>
              </w:rPr>
              <w:t>[ENTER SUBMISSION DATE]</w:t>
            </w:r>
          </w:p>
        </w:tc>
      </w:tr>
    </w:tbl>
    <w:p/>
    <w:p>
      <w:pPr>
        <w:pStyle w:val="Heading2"/>
      </w:pPr>
      <w:r>
        <w:rPr>
          <w:rFonts w:ascii="Arial" w:hAnsi="Arial"/>
          <w:b/>
          <w:color w:val="7030A0"/>
          <w:sz w:val="26"/>
        </w:rPr>
        <w:t>1. Problem Statement</w:t>
      </w:r>
    </w:p>
    <w:p>
      <w:pPr>
        <w:spacing w:after="100"/>
      </w:pPr>
      <w:r>
        <w:rPr>
          <w:rFonts w:ascii="Aptos" w:hAnsi="Aptos"/>
          <w:b w:val="0"/>
          <w:i w:val="0"/>
          <w:color w:val="000000"/>
          <w:sz w:val="20"/>
        </w:rPr>
        <w:t>Banks, payment processors, and cardholders face losses and disruption when unauthorized transactions pass through payment systems. The challenge is to identify unusual transaction behaviour in highly imbalanced data without unnecessarily flagging legitimate purchases. This project will compare anomaly-detection methods on the supplied masked, labelled transaction dataset and evaluate their ability to surface transactions for human review.</w:t>
      </w:r>
    </w:p>
    <w:p>
      <w:pPr>
        <w:pStyle w:val="Heading2"/>
      </w:pPr>
      <w:r>
        <w:rPr>
          <w:rFonts w:ascii="Arial" w:hAnsi="Arial"/>
          <w:b/>
          <w:color w:val="7030A0"/>
          <w:sz w:val="26"/>
        </w:rPr>
        <w:t>2. Proposed Solution &amp; Approach</w:t>
      </w:r>
    </w:p>
    <w:p>
      <w:pPr>
        <w:spacing w:after="100"/>
      </w:pPr>
      <w:r>
        <w:rPr>
          <w:rFonts w:ascii="Aptos" w:hAnsi="Aptos"/>
          <w:b w:val="0"/>
          <w:i w:val="0"/>
          <w:color w:val="000000"/>
          <w:sz w:val="20"/>
        </w:rPr>
        <w:t>The proposed solution is a Python-based fraud-analysis prototype with a Streamlit dashboard for data-quality checks, exploratory visualisations, model comparison, and single/batch transaction scoring. Isolation Forest and Local Outlier Factor will detect unusual patterns, while a TensorFlow/Keras Autoencoder will use reconstruction error as an additional anomaly signal where feasible. A supervised benchmark may use SMOTE/SMOTENC only within the training data and only if sufficient labelled examples are available. Evaluation will focus on fraud precision, recall, F1, Average Precision/PR-AUC, false positives, missed frauds, and prediction latency; flags will be presented as review recommendations rather than final decisions.</w:t>
      </w:r>
    </w:p>
    <w:p>
      <w:pPr>
        <w:pStyle w:val="Heading2"/>
      </w:pPr>
      <w:r>
        <w:rPr>
          <w:rFonts w:ascii="Arial" w:hAnsi="Arial"/>
          <w:b/>
          <w:color w:val="7030A0"/>
          <w:sz w:val="26"/>
        </w:rPr>
        <w:t>3. System Architecture</w:t>
      </w:r>
    </w:p>
    <w:p>
      <w:pPr>
        <w:spacing w:after="40"/>
        <w:jc w:val="center"/>
      </w:pPr>
      <w:r>
        <w:rPr>
          <w:rFonts w:ascii="Arial" w:hAnsi="Arial"/>
          <w:i/>
          <w:color w:val="C05500"/>
          <w:sz w:val="20"/>
        </w:rPr>
      </w:r>
      <w:r>
        <w:drawing>
          <wp:inline xmlns:a="http://schemas.openxmlformats.org/drawingml/2006/main" xmlns:pic="http://schemas.openxmlformats.org/drawingml/2006/picture">
            <wp:extent cx="5715000" cy="4991100"/>
            <wp:docPr id="1" name="Picture 1"/>
            <wp:cNvGraphicFramePr>
              <a:graphicFrameLocks noChangeAspect="1"/>
            </wp:cNvGraphicFramePr>
            <a:graphic>
              <a:graphicData uri="http://schemas.openxmlformats.org/drawingml/2006/picture">
                <pic:pic>
                  <pic:nvPicPr>
                    <pic:cNvPr id="0" name="architecture_combined.png"/>
                    <pic:cNvPicPr/>
                  </pic:nvPicPr>
                  <pic:blipFill>
                    <a:blip r:embed="rId12"/>
                    <a:stretch>
                      <a:fillRect/>
                    </a:stretch>
                  </pic:blipFill>
                  <pic:spPr>
                    <a:xfrm>
                      <a:off x="0" y="0"/>
                      <a:ext cx="5715000" cy="4991100"/>
                    </a:xfrm>
                    <a:prstGeom prst="rect"/>
                  </pic:spPr>
                </pic:pic>
              </a:graphicData>
            </a:graphic>
          </wp:inline>
        </w:drawing>
      </w:r>
    </w:p>
    <w:p>
      <w:pPr>
        <w:pStyle w:val="Heading2"/>
      </w:pPr>
      <w:r>
        <w:rPr>
          <w:rFonts w:ascii="Arial" w:hAnsi="Arial"/>
          <w:b/>
          <w:color w:val="7030A0"/>
          <w:sz w:val="26"/>
        </w:rPr>
        <w:t>4. Technology Stack</w:t>
      </w:r>
    </w:p>
    <w:p>
      <w:pPr>
        <w:spacing w:after="100"/>
      </w:pPr>
      <w:r>
        <w:t>Hardware: Standard x86_64 CPU laptop; Python 3.13; scikit-learn 1.9.0; imbalanced-learn 0.14.2; Streamlit 1.64.0.</w:t>
      </w:r>
    </w:p>
    <w:p>
      <w:pPr>
        <w:pStyle w:val="Heading2"/>
      </w:pPr>
      <w:r>
        <w:rPr>
          <w:rFonts w:ascii="Arial" w:hAnsi="Arial"/>
          <w:b/>
          <w:color w:val="7030A0"/>
          <w:sz w:val="26"/>
        </w:rPr>
        <w:t>5. Dataset Used</w:t>
      </w:r>
    </w:p>
    <w:p>
      <w:pPr>
        <w:spacing w:after="100"/>
      </w:pPr>
      <w:r>
        <w:rPr>
          <w:rFonts w:ascii="Aptos" w:hAnsi="Aptos"/>
          <w:b w:val="0"/>
          <w:i w:val="0"/>
          <w:color w:val="000000"/>
          <w:sz w:val="20"/>
        </w:rPr>
        <w:t>Dataset file name: dataset.csv (supplied; cleaned copy: dataset_cleaned.csv)</w:t>
        <w:br/>
        <w:t>Number of rows: 500 original records</w:t>
        <w:br/>
        <w:t>Number of columns: 8</w:t>
        <w:br/>
        <w:t>Key columns (list 5): trans_id, timestamp, amount, merchant_category, is_fraud</w:t>
        <w:br/>
        <w:t>Any additional data collected: None. Optional synthetic rows must be stored separately and disclosed.</w:t>
      </w:r>
    </w:p>
    <w:p>
      <w:pPr>
        <w:pStyle w:val="Heading2"/>
      </w:pPr>
      <w:r>
        <w:rPr>
          <w:rFonts w:ascii="Arial" w:hAnsi="Arial"/>
          <w:b/>
          <w:color w:val="7030A0"/>
          <w:sz w:val="26"/>
        </w:rPr>
        <w:t>6. Key Results &amp; Metrics</w:t>
      </w:r>
    </w:p>
    <w:p>
      <w:pPr>
        <w:spacing w:after="100"/>
      </w:pPr>
      <w:r>
        <w:t>Metric 1: Fraud-class Precision — 12.50% (1/8 flagged) for Local Outlier Factor; 0.0% (0/1 flagged) for Isolation Forest at 2% contamination threshold.</w:t>
      </w:r>
    </w:p>
    <w:p>
      <w:pPr>
        <w:pStyle w:val="Heading2"/>
      </w:pPr>
      <w:r>
        <w:rPr>
          <w:rFonts w:ascii="Arial" w:hAnsi="Arial"/>
          <w:b/>
          <w:color w:val="7030A0"/>
          <w:sz w:val="26"/>
        </w:rPr>
        <w:t>7. Challenges Faced &amp; How Resolved</w:t>
      </w:r>
    </w:p>
    <w:p>
      <w:pPr>
        <w:spacing w:after="100"/>
      </w:pPr>
      <w:r>
        <w:rPr>
          <w:rFonts w:ascii="Aptos" w:hAnsi="Aptos"/>
          <w:b w:val="0"/>
          <w:i w:val="0"/>
          <w:color w:val="000000"/>
          <w:sz w:val="20"/>
        </w:rPr>
        <w:t>Challenge 1: Only 6 of 500 rows are fraud-labelled → Resolution plan: use leakage-safe validation, report label counts per split, and clearly state the resulting uncertainty.</w:t>
        <w:br/>
        <w:t>Challenge 2: Brief and CSV schemas differ → Resolution: use the actual 8-column CSV schema and document that the Kaggle ULB file is a separate dataset.</w:t>
      </w:r>
    </w:p>
    <w:p>
      <w:pPr>
        <w:pStyle w:val="Heading2"/>
      </w:pPr>
      <w:r>
        <w:rPr>
          <w:rFonts w:ascii="Arial" w:hAnsi="Arial"/>
          <w:b/>
          <w:color w:val="7030A0"/>
          <w:sz w:val="26"/>
        </w:rPr>
        <w:t>8. References</w:t>
      </w:r>
    </w:p>
    <w:p>
      <w:pPr>
        <w:spacing w:after="100"/>
      </w:pPr>
      <w:r>
        <w:rPr>
          <w:rFonts w:ascii="Aptos" w:hAnsi="Aptos"/>
          <w:b w:val="0"/>
          <w:i w:val="0"/>
          <w:color w:val="000000"/>
          <w:sz w:val="20"/>
        </w:rPr>
        <w:t>1. scikit-learn, Isolation Forest documentation — https://scikit-learn.org/stable/modules/generated/sklearn.ensemble.IsolationForest.html</w:t>
        <w:br/>
        <w:t>2. TensorFlow, Introduction to Autoencoders — https://www.tensorflow.org/tutorials/generative/autoencoder</w:t>
        <w:br/>
        <w:t>3. imbalanced-learn, SMOTE and SMOTENC documentation — https://imbalanced-learn.org/stable/over_sampling.html</w:t>
      </w:r>
    </w:p>
    <w:p>
      <w:pPr>
        <w:pStyle w:val="Heading2"/>
      </w:pPr>
      <w:r>
        <w:rPr>
          <w:rFonts w:ascii="Arial" w:hAnsi="Arial"/>
          <w:b/>
          <w:color w:val="7030A0"/>
          <w:sz w:val="26"/>
        </w:rPr>
        <w:t>9. Ethical Compliance Declaration</w:t>
      </w:r>
    </w:p>
    <w:p>
      <w:pPr>
        <w:spacing w:after="160"/>
      </w:pPr>
      <w:r>
        <w:rPr>
          <w:rFonts w:ascii="Arial" w:hAnsi="Arial"/>
          <w:sz w:val="20"/>
        </w:rPr>
        <w:t>I confirm that:</w:t>
        <w:br/>
        <w:t>☐  All dataset usage complies with the source licence.</w:t>
        <w:br/>
        <w:t>☐  No personally identifiable information (PII) is stored without consent.</w:t>
        <w:br/>
        <w:t>☐  AI tools used for code/writing are disclosed in the Appendix.</w:t>
        <w:br/>
        <w:t>☐  This project complies with the DPDP Act 2023 where applicable.</w:t>
        <w:br/>
        <w:br/>
        <w:t>Learner Signature: _________________________    Date: ________________</w:t>
      </w:r>
    </w:p>
    <w:p/>
    <w:p>
      <w:pPr>
        <w:jc w:val="center"/>
      </w:pPr>
      <w:r>
        <w:t>Submit this file as 'Project_Synopsis_[YourName]_[RollNo].docx'  |  FraudGuard AI Platform 2025-26</w:t>
      </w:r>
    </w:p>
    <w:p>
      <w:r>
        <w:br w:type="page"/>
      </w:r>
    </w:p>
    <w:p>
      <w:pPr>
        <w:pStyle w:val="Heading1"/>
      </w:pPr>
      <w:r>
        <w:t>Appendix A — Additional References and AI Tool Disclosure</w:t>
      </w:r>
    </w:p>
    <w:p>
      <w:pPr>
        <w:spacing w:after="120"/>
      </w:pPr>
      <w:r>
        <w:t>Additional reference: scikit-learn, Local Outlier Factor documentation — https://scikit-learn.org/stable/modules/generated/sklearn.neighbors.LocalOutlierFactor.html</w:t>
      </w:r>
    </w:p>
    <w:p>
      <w:pPr>
        <w:spacing w:after="120"/>
      </w:pPr>
      <w:r>
        <w:t>Additional reference: Government of India, Digital Personal Data Protection Act, 2023 — https://egazette.gov.in/WriteReadData/2023/249154.pdf</w:t>
      </w:r>
    </w:p>
    <w:p>
      <w:pPr>
        <w:spacing w:after="120"/>
      </w:pPr>
      <w:r>
        <w:t>Dataset note: the public Kaggle ULB benchmark is a separate dataset with fields Time, V1–V28, Amount, and Class. It is listed as a reference only unless that dataset is separately downloaded and used: https://www.kaggle.com/datasets/mlg-ulb/creditcardfraud</w:t>
      </w:r>
    </w:p>
    <w:p>
      <w:pPr>
        <w:spacing w:after="120"/>
      </w:pPr>
      <w:r>
        <w:t>AI tool disclosure (edit to match actual use): ChatGPT (OpenAI) assisted with project planning, prompt drafting, and documentation scaffolding. The learner must review, understand, test, and edit all generated code and writing, report only measured model results, and add any other AI tools actually used.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3DA90B-EA0B-44E5-AAC7-36D775C22F51}"/>
</file>

<file path=customXml/itemProps3.xml><?xml version="1.0" encoding="utf-8"?>
<ds:datastoreItem xmlns:ds="http://schemas.openxmlformats.org/officeDocument/2006/customXml" ds:itemID="{73998B5B-ED9F-4B5A-844B-8A2BC2194723}"/>
</file>

<file path=customXml/itemProps4.xml><?xml version="1.0" encoding="utf-8"?>
<ds:datastoreItem xmlns:ds="http://schemas.openxmlformats.org/officeDocument/2006/customXml" ds:itemID="{675D5D45-EB6D-4D20-820E-0DB5DB0D36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