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Banking Application Test Plan</w:t>
      </w:r>
    </w:p>
    <w:p>
      <w:pPr>
        <w:pStyle w:val="Heading2"/>
      </w:pPr>
      <w:r>
        <w:t>Objective</w:t>
      </w:r>
    </w:p>
    <w:p>
      <w:r>
        <w:t>Verify login, account management, fund transfer and logout functionality.</w:t>
      </w:r>
    </w:p>
    <w:p>
      <w:pPr>
        <w:pStyle w:val="Heading2"/>
      </w:pPr>
      <w:r>
        <w:t>Scope</w:t>
      </w:r>
    </w:p>
    <w:p>
      <w:r>
        <w:t>Functional, smoke and regression testing.</w:t>
      </w:r>
    </w:p>
    <w:p>
      <w:pPr>
        <w:pStyle w:val="Heading2"/>
      </w:pPr>
      <w:r>
        <w:t>Entry Criteria</w:t>
      </w:r>
    </w:p>
    <w:p>
      <w:r>
        <w:t>Application deployed and test environment ready.</w:t>
      </w:r>
    </w:p>
    <w:p>
      <w:pPr>
        <w:pStyle w:val="Heading2"/>
      </w:pPr>
      <w:r>
        <w:t>Exit Criteria</w:t>
      </w:r>
    </w:p>
    <w:p>
      <w:r>
        <w:t>Critical defects closed and planned test cases executed.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