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AGENTIC AI – MULTI-AGENT COMPLIANCE MONITORING SYSTEM</w:t>
      </w:r>
    </w:p>
    <w:p>
      <w:pPr>
        <w:jc w:val="center"/>
      </w:pPr>
      <w:r>
        <w:rPr>
          <w:b/>
        </w:rPr>
        <w:t>Meridian Compliance Intelligence Platform (MCIP)</w:t>
        <w:br/>
      </w:r>
      <w:r>
        <w:br/>
        <w:t>College / Internship Project Report</w:t>
        <w:br/>
        <w:br/>
        <w:t>15-Day System Design &amp; Architecture Project</w:t>
      </w:r>
    </w:p>
    <w:p>
      <w:r>
        <w:br w:type="page"/>
      </w:r>
    </w:p>
    <w:p>
      <w:pPr>
        <w:pStyle w:val="Heading1"/>
      </w:pPr>
      <w:r>
        <w:t>Certificate</w:t>
      </w:r>
    </w:p>
    <w:p>
      <w:r>
        <w:t>This is to certify that the project titled “Meridian Compliance Intelligence Platform (MCIP)” is presented as an academic/internship system-design project on Agentic AI and multi-agent compliance monitoring.</w:t>
      </w:r>
    </w:p>
    <w:p>
      <w:pPr>
        <w:pStyle w:val="Heading1"/>
      </w:pPr>
      <w:r>
        <w:t>Declaration</w:t>
      </w:r>
    </w:p>
    <w:p>
      <w:r>
        <w:t>The project is a proposed architecture and specification. It does not represent a production financial system or legal advice. Regulatory references should be validated against current authoritative sources before operational deployment.</w:t>
      </w:r>
    </w:p>
    <w:p>
      <w:pPr>
        <w:pStyle w:val="Heading1"/>
      </w:pPr>
      <w:r>
        <w:t>Abstract</w:t>
      </w:r>
    </w:p>
    <w:p>
      <w:r>
        <w:t>MCIP is a hierarchical multi-agent AI architecture designed for compliance surveillance across transactions, communications and regulatory change. Four specialist agents collaborate through authenticated event-driven messages, a consensus layer and a human-in-the-loop escalation framework. The design emphasizes low-latency monitoring, false-positive control, cross-jurisdiction reasoning, secure evidence handling and tamper-evident auditability.</w:t>
      </w:r>
    </w:p>
    <w:p>
      <w:pPr>
        <w:pStyle w:val="Heading1"/>
      </w:pPr>
      <w:r>
        <w:t>1. Introduction</w:t>
      </w:r>
    </w:p>
    <w:p>
      <w:r>
        <w:t>Financial institutions face high-volume transactions, large communication streams and continuously changing regulatory obligations. Manual and siloed monitoring can create detection delays and inconsistent responses. MCIP proposes specialist agents that divide the problem into transaction surveillance, communication surveillance, regulatory intelligence and reporting.</w:t>
      </w:r>
    </w:p>
    <w:p>
      <w:pPr>
        <w:pStyle w:val="Heading1"/>
      </w:pPr>
      <w:r>
        <w:t>2. Problem Statement</w:t>
      </w:r>
    </w:p>
    <w:p>
      <w:r>
        <w:t>Design an implementation-ready multi-agent system for a fictional tier-2 global bank that can monitor trading operations, lending activity and customer communications, coordinate evidence across agents, resolve disagreements, escalate edge cases to humans and maintain a complete audit trail.</w:t>
      </w:r>
    </w:p>
    <w:p>
      <w:pPr>
        <w:pStyle w:val="Heading1"/>
      </w:pPr>
      <w:r>
        <w:t>3. Objectives</w:t>
      </w:r>
    </w:p>
    <w:p>
      <w:r>
        <w:t>1) Detect suspicious patterns early. 2) Correlate transaction and communication evidence. 3) Track regulatory changes. 4) Reduce false positives. 5) Provide explainable escalation packages. 6) Preserve audit-grade evidence. 7) Support scalable processing.</w:t>
      </w:r>
    </w:p>
    <w:p>
      <w:pPr>
        <w:pStyle w:val="Heading1"/>
      </w:pPr>
      <w:r>
        <w:t>4. Existing System Limitations</w:t>
      </w:r>
    </w:p>
    <w:p>
      <w:r>
        <w:t>Manual review is slow and expensive; jurisdictional rules may be siloed; transaction and communication evidence can remain disconnected; regulatory changes can be incorporated slowly; and audit reconstruction can be difficult when decisions span multiple teams.</w:t>
      </w:r>
    </w:p>
    <w:p>
      <w:pPr>
        <w:pStyle w:val="Heading1"/>
      </w:pPr>
      <w:r>
        <w:t>5. Proposed System</w:t>
      </w:r>
    </w:p>
    <w:p>
      <w:r>
        <w:t>MCIP uses a hierarchical orchestrator with event-driven messaging. TM, CS, RU and RG operate within explicit boundaries. A consensus engine combines confidence and evidence; an escalation engine routes critical or ambiguous cases to analysts and management; an audit service records each transition.</w:t>
      </w:r>
    </w:p>
    <w:p>
      <w:pPr>
        <w:pStyle w:val="Heading1"/>
      </w:pPr>
      <w:r>
        <w:t>6. Agent Design</w:t>
      </w:r>
    </w:p>
    <w:p>
      <w:r>
        <w:t>TM monitors transactions and patterns; CS performs permitted NLP and communication analysis; RU monitors official regulatory publications and performs preliminary impact mapping; RG compiles reports and filing drafts but requires human authorization for filing.</w:t>
      </w:r>
    </w:p>
    <w:p>
      <w:pPr>
        <w:pStyle w:val="Heading1"/>
      </w:pPr>
      <w:r>
        <w:t>7. Communication Protocol</w:t>
      </w:r>
    </w:p>
    <w:p>
      <w:r>
        <w:t>Messages use UUID identifiers, protocol version, timestamps, sender/recipient IDs, message type, priority, correlation and trace IDs, payload schema, confidence, TTL, retry count, audit classification, signature and nonce.</w:t>
      </w:r>
    </w:p>
    <w:p>
      <w:pPr>
        <w:pStyle w:val="Heading1"/>
      </w:pPr>
      <w:r>
        <w:t>8. Conflict Resolution</w:t>
      </w:r>
    </w:p>
    <w:p>
      <w:r>
        <w:t>The project uses a hybrid evidence approach: weighted agent assessments plus Bayesian-style posterior updating, with explicit uncertainty and deterministic tie-break rules. Hard regulatory controls can override probabilistic thresholds. Unresolved conflicts are escalated.</w:t>
      </w:r>
    </w:p>
    <w:p>
      <w:pPr>
        <w:pStyle w:val="Heading1"/>
      </w:pPr>
      <w:r>
        <w:t>9. Human-in-the-Loop</w:t>
      </w:r>
    </w:p>
    <w:p>
      <w:r>
        <w:t>Four tiers are defined: Analyst, Senior Analyst, Manager and Director/CCO. Critical cases, unresolved conflicts, legal ambiguity, sanctions-related events and regulatory deadline risks require human involvement.</w:t>
      </w:r>
    </w:p>
    <w:p>
      <w:pPr>
        <w:pStyle w:val="Heading1"/>
      </w:pPr>
      <w:r>
        <w:t>10. Security</w:t>
      </w:r>
    </w:p>
    <w:p>
      <w:r>
        <w:t>Mutual TLS, encryption, least privilege, signed messages, nonce-based replay prevention, data minimization, segmentation and immutable audit storage are proposed. Regulatory filing requires dual authorization.</w:t>
      </w:r>
    </w:p>
    <w:p>
      <w:pPr>
        <w:pStyle w:val="Heading1"/>
      </w:pPr>
      <w:r>
        <w:t>11. Observability</w:t>
      </w:r>
    </w:p>
    <w:p>
      <w:r>
        <w:t>The dashboard contains System Health, Compliance Effectiveness and Operational Intelligence panels. Logs cover agent lifecycle, detection, communication, escalation, human decisions, reporting, performance and security.</w:t>
      </w:r>
    </w:p>
    <w:p>
      <w:pPr>
        <w:pStyle w:val="Heading1"/>
      </w:pPr>
      <w:r>
        <w:t>12. Scenario Validation</w:t>
      </w:r>
    </w:p>
    <w:p>
      <w:r>
        <w:t>Twenty scenarios are included, covering insider trading, spoofing, suitability, AML structuring, information barriers, wash trading, regulatory changes, misleading marketing, sanctions, front-running, privacy, concentration, off-channel communication, late trading, best execution, research independence, elder exploitation, a false-positive block trade, jurisdictional conflict and coordinated trade-finance money laundering.</w:t>
      </w:r>
    </w:p>
    <w:p>
      <w:pPr>
        <w:pStyle w:val="Heading1"/>
      </w:pPr>
      <w:r>
        <w:t>13. Special Cases</w:t>
      </w:r>
    </w:p>
    <w:p>
      <w:r>
        <w:t>CS-18 must suppress a legitimate block-trade false positive after documentation and rebalancing verification. CS-20 must demonstrate all four agents coordinating on a complex trade-finance AML case.</w:t>
      </w:r>
    </w:p>
    <w:p>
      <w:pPr>
        <w:pStyle w:val="Heading1"/>
      </w:pPr>
      <w:r>
        <w:t>14. Technology Stack</w:t>
      </w:r>
    </w:p>
    <w:p>
      <w:r>
        <w:t>Proposed stack: Python; Kafka for durable event streaming; PostgreSQL for structured case metadata; Redis for low-latency state; object/WORM storage for evidence; FastAPI for service APIs; LangGraph/CrewAI-style orchestration; OpenTelemetry for tracing; Prometheus/Grafana for monitoring.</w:t>
      </w:r>
    </w:p>
    <w:p>
      <w:pPr>
        <w:pStyle w:val="Heading1"/>
      </w:pPr>
      <w:r>
        <w:t>15. Scalability</w:t>
      </w:r>
    </w:p>
    <w:p>
      <w:r>
        <w:t>The reference project scale is 2.4 million daily transactions and 850,000 daily communications. The design uses partitioned event streams, horizontal agent workers, batching where appropriate, autoscaling and replayable queues. Exact production capacity would require load testing.</w:t>
      </w:r>
    </w:p>
    <w:p>
      <w:pPr>
        <w:pStyle w:val="Heading1"/>
      </w:pPr>
      <w:r>
        <w:t>16. Testing Strategy</w:t>
      </w:r>
    </w:p>
    <w:p>
      <w:r>
        <w:t>Unit tests validate schemas and routing. Integration tests validate agent interactions. Scenario tests validate all 20 cases. Negative tests validate suppression of CS-18. Failure tests cover agent outages, queue failures, stale regulatory data and unresolved conflicts.</w:t>
      </w:r>
    </w:p>
    <w:p>
      <w:pPr>
        <w:pStyle w:val="Heading1"/>
      </w:pPr>
      <w:r>
        <w:t>17. Benefits</w:t>
      </w:r>
    </w:p>
    <w:p>
      <w:r>
        <w:t>Specialization improves domain focus; asynchronous communication supports scale; centralized case correlation improves traceability; human escalation preserves accountability; and immutable audit design supports examination and reconstruction.</w:t>
      </w:r>
    </w:p>
    <w:p>
      <w:pPr>
        <w:pStyle w:val="Heading1"/>
      </w:pPr>
      <w:r>
        <w:t>18. Limitations</w:t>
      </w:r>
    </w:p>
    <w:p>
      <w:r>
        <w:t>AI confidence is not legal certainty. Some communications may be unavailable or protected. Regulatory interpretations can be ambiguous. The proposed system requires authoritative-source validation, calibration datasets, governance and production security controls.</w:t>
      </w:r>
    </w:p>
    <w:p>
      <w:pPr>
        <w:pStyle w:val="Heading1"/>
      </w:pPr>
      <w:r>
        <w:t>19. Future Scope</w:t>
      </w:r>
    </w:p>
    <w:p>
      <w:r>
        <w:t>Additional agents can cover sanctions screening, client risk profiling and data quality. Future extensions can include graph-based relationship analysis, multilingual models, continuous model monitoring, privacy-preserving analytics and controlled production pilots.</w:t>
      </w:r>
    </w:p>
    <w:p>
      <w:pPr>
        <w:pStyle w:val="Heading1"/>
      </w:pPr>
      <w:r>
        <w:t>20. Conclusion</w:t>
      </w:r>
    </w:p>
    <w:p>
      <w:r>
        <w:t>MCIP demonstrates how Agentic AI can be structured as a coordinated compliance platform rather than a single model. The architecture combines specialized detection, inter-agent evidence exchange, deterministic conflict handling, human oversight and auditable observability. The result is an implementation-ready blueprint aligned with the supplied project brief.</w:t>
      </w:r>
    </w:p>
    <w:p>
      <w:pPr>
        <w:pStyle w:val="Heading1"/>
      </w:pPr>
      <w:r>
        <w:t>References</w:t>
      </w:r>
    </w:p>
    <w:p>
      <w:r>
        <w:t>Primary project brief: Agentic AI – Multi-Agent Compliance Monitoring System, supplied by the user. Recommended research sources listed in the brief include SEC EDGAR, FINRA Regulatory Library, FCA Handbook, SEBI, RBI, FinCEN, OFAC and FATF. Additional technical references in the brief include Wooldridge, Shoham &amp; Leyton-Brown, Kleppmann, Newman, Sridharan and Burns.</w:t>
      </w:r>
    </w:p>
    <w:p>
      <w:pPr>
        <w:pStyle w:val="Heading1"/>
      </w:pPr>
      <w:r>
        <w:t>Appendix A – 20 Scenario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Scenario</w:t>
            </w:r>
          </w:p>
        </w:tc>
        <w:tc>
          <w:tcPr>
            <w:tcW w:type="dxa" w:w="1728"/>
          </w:tcPr>
          <w:p>
            <w:r>
              <w:t>Agents</w:t>
            </w:r>
          </w:p>
        </w:tc>
        <w:tc>
          <w:tcPr>
            <w:tcW w:type="dxa" w:w="1728"/>
          </w:tcPr>
          <w:p>
            <w:r>
              <w:t>Complexity</w:t>
            </w:r>
          </w:p>
        </w:tc>
        <w:tc>
          <w:tcPr>
            <w:tcW w:type="dxa" w:w="1728"/>
          </w:tcPr>
          <w:p>
            <w:r>
              <w:t>Outcome</w:t>
            </w:r>
          </w:p>
        </w:tc>
      </w:tr>
      <w:tr>
        <w:tc>
          <w:tcPr>
            <w:tcW w:type="dxa" w:w="1728"/>
          </w:tcPr>
          <w:p>
            <w:r>
              <w:t>CS-01</w:t>
            </w:r>
          </w:p>
        </w:tc>
        <w:tc>
          <w:tcPr>
            <w:tcW w:type="dxa" w:w="1728"/>
          </w:tcPr>
          <w:p>
            <w:r>
              <w:t>Insider Trading – Pre-Announcement Accumulation</w:t>
            </w:r>
          </w:p>
        </w:tc>
        <w:tc>
          <w:tcPr>
            <w:tcW w:type="dxa" w:w="1728"/>
          </w:tcPr>
          <w:p>
            <w:r>
              <w:t>TM + CS</w:t>
            </w:r>
          </w:p>
        </w:tc>
        <w:tc>
          <w:tcPr>
            <w:tcW w:type="dxa" w:w="1728"/>
          </w:tcPr>
          <w:p>
            <w:r>
              <w:t>High</w:t>
            </w:r>
          </w:p>
        </w:tc>
        <w:tc>
          <w:tcPr>
            <w:tcW w:type="dxa" w:w="1728"/>
          </w:tcPr>
          <w:p>
            <w:r>
              <w:t>CRITICAL</w:t>
            </w:r>
          </w:p>
        </w:tc>
      </w:tr>
      <w:tr>
        <w:tc>
          <w:tcPr>
            <w:tcW w:type="dxa" w:w="1728"/>
          </w:tcPr>
          <w:p>
            <w:r>
              <w:t>CS-02</w:t>
            </w:r>
          </w:p>
        </w:tc>
        <w:tc>
          <w:tcPr>
            <w:tcW w:type="dxa" w:w="1728"/>
          </w:tcPr>
          <w:p>
            <w:r>
              <w:t>Market Manipulation – Spoofing</w:t>
            </w:r>
          </w:p>
        </w:tc>
        <w:tc>
          <w:tcPr>
            <w:tcW w:type="dxa" w:w="1728"/>
          </w:tcPr>
          <w:p>
            <w:r>
              <w:t>TM</w:t>
            </w:r>
          </w:p>
        </w:tc>
        <w:tc>
          <w:tcPr>
            <w:tcW w:type="dxa" w:w="1728"/>
          </w:tcPr>
          <w:p>
            <w:r>
              <w:t>Medium</w:t>
            </w:r>
          </w:p>
        </w:tc>
        <w:tc>
          <w:tcPr>
            <w:tcW w:type="dxa" w:w="1728"/>
          </w:tcPr>
          <w:p>
            <w:r>
              <w:t>HIGH</w:t>
            </w:r>
          </w:p>
        </w:tc>
      </w:tr>
      <w:tr>
        <w:tc>
          <w:tcPr>
            <w:tcW w:type="dxa" w:w="1728"/>
          </w:tcPr>
          <w:p>
            <w:r>
              <w:t>CS-03</w:t>
            </w:r>
          </w:p>
        </w:tc>
        <w:tc>
          <w:tcPr>
            <w:tcW w:type="dxa" w:w="1728"/>
          </w:tcPr>
          <w:p>
            <w:r>
              <w:t>Unsuitable Investment Recommendation</w:t>
            </w:r>
          </w:p>
        </w:tc>
        <w:tc>
          <w:tcPr>
            <w:tcW w:type="dxa" w:w="1728"/>
          </w:tcPr>
          <w:p>
            <w:r>
              <w:t>CS + TM</w:t>
            </w:r>
          </w:p>
        </w:tc>
        <w:tc>
          <w:tcPr>
            <w:tcW w:type="dxa" w:w="1728"/>
          </w:tcPr>
          <w:p>
            <w:r>
              <w:t>High</w:t>
            </w:r>
          </w:p>
        </w:tc>
        <w:tc>
          <w:tcPr>
            <w:tcW w:type="dxa" w:w="1728"/>
          </w:tcPr>
          <w:p>
            <w:r>
              <w:t>HIGH</w:t>
            </w:r>
          </w:p>
        </w:tc>
      </w:tr>
      <w:tr>
        <w:tc>
          <w:tcPr>
            <w:tcW w:type="dxa" w:w="1728"/>
          </w:tcPr>
          <w:p>
            <w:r>
              <w:t>CS-04</w:t>
            </w:r>
          </w:p>
        </w:tc>
        <w:tc>
          <w:tcPr>
            <w:tcW w:type="dxa" w:w="1728"/>
          </w:tcPr>
          <w:p>
            <w:r>
              <w:t>AML – Structuring Deposits</w:t>
            </w:r>
          </w:p>
        </w:tc>
        <w:tc>
          <w:tcPr>
            <w:tcW w:type="dxa" w:w="1728"/>
          </w:tcPr>
          <w:p>
            <w:r>
              <w:t>TM</w:t>
            </w:r>
          </w:p>
        </w:tc>
        <w:tc>
          <w:tcPr>
            <w:tcW w:type="dxa" w:w="1728"/>
          </w:tcPr>
          <w:p>
            <w:r>
              <w:t>Medium</w:t>
            </w:r>
          </w:p>
        </w:tc>
        <w:tc>
          <w:tcPr>
            <w:tcW w:type="dxa" w:w="1728"/>
          </w:tcPr>
          <w:p>
            <w:r>
              <w:t>CRITICAL</w:t>
            </w:r>
          </w:p>
        </w:tc>
      </w:tr>
      <w:tr>
        <w:tc>
          <w:tcPr>
            <w:tcW w:type="dxa" w:w="1728"/>
          </w:tcPr>
          <w:p>
            <w:r>
              <w:t>CS-05</w:t>
            </w:r>
          </w:p>
        </w:tc>
        <w:tc>
          <w:tcPr>
            <w:tcW w:type="dxa" w:w="1728"/>
          </w:tcPr>
          <w:p>
            <w:r>
              <w:t>Chinese Wall Breach</w:t>
            </w:r>
          </w:p>
        </w:tc>
        <w:tc>
          <w:tcPr>
            <w:tcW w:type="dxa" w:w="1728"/>
          </w:tcPr>
          <w:p>
            <w:r>
              <w:t>CS</w:t>
            </w:r>
          </w:p>
        </w:tc>
        <w:tc>
          <w:tcPr>
            <w:tcW w:type="dxa" w:w="1728"/>
          </w:tcPr>
          <w:p>
            <w:r>
              <w:t>High</w:t>
            </w:r>
          </w:p>
        </w:tc>
        <w:tc>
          <w:tcPr>
            <w:tcW w:type="dxa" w:w="1728"/>
          </w:tcPr>
          <w:p>
            <w:r>
              <w:t>CRITICAL</w:t>
            </w:r>
          </w:p>
        </w:tc>
      </w:tr>
      <w:tr>
        <w:tc>
          <w:tcPr>
            <w:tcW w:type="dxa" w:w="1728"/>
          </w:tcPr>
          <w:p>
            <w:r>
              <w:t>CS-06</w:t>
            </w:r>
          </w:p>
        </w:tc>
        <w:tc>
          <w:tcPr>
            <w:tcW w:type="dxa" w:w="1728"/>
          </w:tcPr>
          <w:p>
            <w:r>
              <w:t>Wash Trading</w:t>
            </w:r>
          </w:p>
        </w:tc>
        <w:tc>
          <w:tcPr>
            <w:tcW w:type="dxa" w:w="1728"/>
          </w:tcPr>
          <w:p>
            <w:r>
              <w:t>TM</w:t>
            </w:r>
          </w:p>
        </w:tc>
        <w:tc>
          <w:tcPr>
            <w:tcW w:type="dxa" w:w="1728"/>
          </w:tcPr>
          <w:p>
            <w:r>
              <w:t>High</w:t>
            </w:r>
          </w:p>
        </w:tc>
        <w:tc>
          <w:tcPr>
            <w:tcW w:type="dxa" w:w="1728"/>
          </w:tcPr>
          <w:p>
            <w:r>
              <w:t>HIGH</w:t>
            </w:r>
          </w:p>
        </w:tc>
      </w:tr>
      <w:tr>
        <w:tc>
          <w:tcPr>
            <w:tcW w:type="dxa" w:w="1728"/>
          </w:tcPr>
          <w:p>
            <w:r>
              <w:t>CS-07</w:t>
            </w:r>
          </w:p>
        </w:tc>
        <w:tc>
          <w:tcPr>
            <w:tcW w:type="dxa" w:w="1728"/>
          </w:tcPr>
          <w:p>
            <w:r>
              <w:t>Regulatory Change – Margin Requirements</w:t>
            </w:r>
          </w:p>
        </w:tc>
        <w:tc>
          <w:tcPr>
            <w:tcW w:type="dxa" w:w="1728"/>
          </w:tcPr>
          <w:p>
            <w:r>
              <w:t>RU</w:t>
            </w:r>
          </w:p>
        </w:tc>
        <w:tc>
          <w:tcPr>
            <w:tcW w:type="dxa" w:w="1728"/>
          </w:tcPr>
          <w:p>
            <w:r>
              <w:t>Medium</w:t>
            </w:r>
          </w:p>
        </w:tc>
        <w:tc>
          <w:tcPr>
            <w:tcW w:type="dxa" w:w="1728"/>
          </w:tcPr>
          <w:p>
            <w:r>
              <w:t>MEDIUM</w:t>
            </w:r>
          </w:p>
        </w:tc>
      </w:tr>
      <w:tr>
        <w:tc>
          <w:tcPr>
            <w:tcW w:type="dxa" w:w="1728"/>
          </w:tcPr>
          <w:p>
            <w:r>
              <w:t>CS-08</w:t>
            </w:r>
          </w:p>
        </w:tc>
        <w:tc>
          <w:tcPr>
            <w:tcW w:type="dxa" w:w="1728"/>
          </w:tcPr>
          <w:p>
            <w:r>
              <w:t>Misleading Performance Claims</w:t>
            </w:r>
          </w:p>
        </w:tc>
        <w:tc>
          <w:tcPr>
            <w:tcW w:type="dxa" w:w="1728"/>
          </w:tcPr>
          <w:p>
            <w:r>
              <w:t>CS</w:t>
            </w:r>
          </w:p>
        </w:tc>
        <w:tc>
          <w:tcPr>
            <w:tcW w:type="dxa" w:w="1728"/>
          </w:tcPr>
          <w:p>
            <w:r>
              <w:t>Low-Medium</w:t>
            </w:r>
          </w:p>
        </w:tc>
        <w:tc>
          <w:tcPr>
            <w:tcW w:type="dxa" w:w="1728"/>
          </w:tcPr>
          <w:p>
            <w:r>
              <w:t>CRITICAL</w:t>
            </w:r>
          </w:p>
        </w:tc>
      </w:tr>
      <w:tr>
        <w:tc>
          <w:tcPr>
            <w:tcW w:type="dxa" w:w="1728"/>
          </w:tcPr>
          <w:p>
            <w:r>
              <w:t>CS-09</w:t>
            </w:r>
          </w:p>
        </w:tc>
        <w:tc>
          <w:tcPr>
            <w:tcW w:type="dxa" w:w="1728"/>
          </w:tcPr>
          <w:p>
            <w:r>
              <w:t>Sanctions – Indirect Counterparty Exposure</w:t>
            </w:r>
          </w:p>
        </w:tc>
        <w:tc>
          <w:tcPr>
            <w:tcW w:type="dxa" w:w="1728"/>
          </w:tcPr>
          <w:p>
            <w:r>
              <w:t>TM + RU</w:t>
            </w:r>
          </w:p>
        </w:tc>
        <w:tc>
          <w:tcPr>
            <w:tcW w:type="dxa" w:w="1728"/>
          </w:tcPr>
          <w:p>
            <w:r>
              <w:t>High</w:t>
            </w:r>
          </w:p>
        </w:tc>
        <w:tc>
          <w:tcPr>
            <w:tcW w:type="dxa" w:w="1728"/>
          </w:tcPr>
          <w:p>
            <w:r>
              <w:t>CRITICAL</w:t>
            </w:r>
          </w:p>
        </w:tc>
      </w:tr>
      <w:tr>
        <w:tc>
          <w:tcPr>
            <w:tcW w:type="dxa" w:w="1728"/>
          </w:tcPr>
          <w:p>
            <w:r>
              <w:t>CS-10</w:t>
            </w:r>
          </w:p>
        </w:tc>
        <w:tc>
          <w:tcPr>
            <w:tcW w:type="dxa" w:w="1728"/>
          </w:tcPr>
          <w:p>
            <w:r>
              <w:t>Front-Running</w:t>
            </w:r>
          </w:p>
        </w:tc>
        <w:tc>
          <w:tcPr>
            <w:tcW w:type="dxa" w:w="1728"/>
          </w:tcPr>
          <w:p>
            <w:r>
              <w:t>TM</w:t>
            </w:r>
          </w:p>
        </w:tc>
        <w:tc>
          <w:tcPr>
            <w:tcW w:type="dxa" w:w="1728"/>
          </w:tcPr>
          <w:p>
            <w:r>
              <w:t>Medium</w:t>
            </w:r>
          </w:p>
        </w:tc>
        <w:tc>
          <w:tcPr>
            <w:tcW w:type="dxa" w:w="1728"/>
          </w:tcPr>
          <w:p>
            <w:r>
              <w:t>CRITICAL</w:t>
            </w:r>
          </w:p>
        </w:tc>
      </w:tr>
      <w:tr>
        <w:tc>
          <w:tcPr>
            <w:tcW w:type="dxa" w:w="1728"/>
          </w:tcPr>
          <w:p>
            <w:r>
              <w:t>CS-11</w:t>
            </w:r>
          </w:p>
        </w:tc>
        <w:tc>
          <w:tcPr>
            <w:tcW w:type="dxa" w:w="1728"/>
          </w:tcPr>
          <w:p>
            <w:r>
              <w:t>Data Privacy – Cross-Border Transfer</w:t>
            </w:r>
          </w:p>
        </w:tc>
        <w:tc>
          <w:tcPr>
            <w:tcW w:type="dxa" w:w="1728"/>
          </w:tcPr>
          <w:p>
            <w:r>
              <w:t>CS + RU</w:t>
            </w:r>
          </w:p>
        </w:tc>
        <w:tc>
          <w:tcPr>
            <w:tcW w:type="dxa" w:w="1728"/>
          </w:tcPr>
          <w:p>
            <w:r>
              <w:t>Medium</w:t>
            </w:r>
          </w:p>
        </w:tc>
        <w:tc>
          <w:tcPr>
            <w:tcW w:type="dxa" w:w="1728"/>
          </w:tcPr>
          <w:p>
            <w:r>
              <w:t>HIGH</w:t>
            </w:r>
          </w:p>
        </w:tc>
      </w:tr>
      <w:tr>
        <w:tc>
          <w:tcPr>
            <w:tcW w:type="dxa" w:w="1728"/>
          </w:tcPr>
          <w:p>
            <w:r>
              <w:t>CS-12</w:t>
            </w:r>
          </w:p>
        </w:tc>
        <w:tc>
          <w:tcPr>
            <w:tcW w:type="dxa" w:w="1728"/>
          </w:tcPr>
          <w:p>
            <w:r>
              <w:t>Concentration Risk</w:t>
            </w:r>
          </w:p>
        </w:tc>
        <w:tc>
          <w:tcPr>
            <w:tcW w:type="dxa" w:w="1728"/>
          </w:tcPr>
          <w:p>
            <w:r>
              <w:t>TM</w:t>
            </w:r>
          </w:p>
        </w:tc>
        <w:tc>
          <w:tcPr>
            <w:tcW w:type="dxa" w:w="1728"/>
          </w:tcPr>
          <w:p>
            <w:r>
              <w:t>Low</w:t>
            </w:r>
          </w:p>
        </w:tc>
        <w:tc>
          <w:tcPr>
            <w:tcW w:type="dxa" w:w="1728"/>
          </w:tcPr>
          <w:p>
            <w:r>
              <w:t>MEDIUM</w:t>
            </w:r>
          </w:p>
        </w:tc>
      </w:tr>
      <w:tr>
        <w:tc>
          <w:tcPr>
            <w:tcW w:type="dxa" w:w="1728"/>
          </w:tcPr>
          <w:p>
            <w:r>
              <w:t>CS-13</w:t>
            </w:r>
          </w:p>
        </w:tc>
        <w:tc>
          <w:tcPr>
            <w:tcW w:type="dxa" w:w="1728"/>
          </w:tcPr>
          <w:p>
            <w:r>
              <w:t>Off-Channel Communication</w:t>
            </w:r>
          </w:p>
        </w:tc>
        <w:tc>
          <w:tcPr>
            <w:tcW w:type="dxa" w:w="1728"/>
          </w:tcPr>
          <w:p>
            <w:r>
              <w:t>CS</w:t>
            </w:r>
          </w:p>
        </w:tc>
        <w:tc>
          <w:tcPr>
            <w:tcW w:type="dxa" w:w="1728"/>
          </w:tcPr>
          <w:p>
            <w:r>
              <w:t>Medium</w:t>
            </w:r>
          </w:p>
        </w:tc>
        <w:tc>
          <w:tcPr>
            <w:tcW w:type="dxa" w:w="1728"/>
          </w:tcPr>
          <w:p>
            <w:r>
              <w:t>HIGH</w:t>
            </w:r>
          </w:p>
        </w:tc>
      </w:tr>
      <w:tr>
        <w:tc>
          <w:tcPr>
            <w:tcW w:type="dxa" w:w="1728"/>
          </w:tcPr>
          <w:p>
            <w:r>
              <w:t>CS-14</w:t>
            </w:r>
          </w:p>
        </w:tc>
        <w:tc>
          <w:tcPr>
            <w:tcW w:type="dxa" w:w="1728"/>
          </w:tcPr>
          <w:p>
            <w:r>
              <w:t>Late Trading</w:t>
            </w:r>
          </w:p>
        </w:tc>
        <w:tc>
          <w:tcPr>
            <w:tcW w:type="dxa" w:w="1728"/>
          </w:tcPr>
          <w:p>
            <w:r>
              <w:t>TM</w:t>
            </w:r>
          </w:p>
        </w:tc>
        <w:tc>
          <w:tcPr>
            <w:tcW w:type="dxa" w:w="1728"/>
          </w:tcPr>
          <w:p>
            <w:r>
              <w:t>Medium</w:t>
            </w:r>
          </w:p>
        </w:tc>
        <w:tc>
          <w:tcPr>
            <w:tcW w:type="dxa" w:w="1728"/>
          </w:tcPr>
          <w:p>
            <w:r>
              <w:t>CRITICAL</w:t>
            </w:r>
          </w:p>
        </w:tc>
      </w:tr>
      <w:tr>
        <w:tc>
          <w:tcPr>
            <w:tcW w:type="dxa" w:w="1728"/>
          </w:tcPr>
          <w:p>
            <w:r>
              <w:t>CS-15</w:t>
            </w:r>
          </w:p>
        </w:tc>
        <w:tc>
          <w:tcPr>
            <w:tcW w:type="dxa" w:w="1728"/>
          </w:tcPr>
          <w:p>
            <w:r>
              <w:t>Best Execution Failure</w:t>
            </w:r>
          </w:p>
        </w:tc>
        <w:tc>
          <w:tcPr>
            <w:tcW w:type="dxa" w:w="1728"/>
          </w:tcPr>
          <w:p>
            <w:r>
              <w:t>TM</w:t>
            </w:r>
          </w:p>
        </w:tc>
        <w:tc>
          <w:tcPr>
            <w:tcW w:type="dxa" w:w="1728"/>
          </w:tcPr>
          <w:p>
            <w:r>
              <w:t>Medium</w:t>
            </w:r>
          </w:p>
        </w:tc>
        <w:tc>
          <w:tcPr>
            <w:tcW w:type="dxa" w:w="1728"/>
          </w:tcPr>
          <w:p>
            <w:r>
              <w:t>HIGH</w:t>
            </w:r>
          </w:p>
        </w:tc>
      </w:tr>
      <w:tr>
        <w:tc>
          <w:tcPr>
            <w:tcW w:type="dxa" w:w="1728"/>
          </w:tcPr>
          <w:p>
            <w:r>
              <w:t>CS-16</w:t>
            </w:r>
          </w:p>
        </w:tc>
        <w:tc>
          <w:tcPr>
            <w:tcW w:type="dxa" w:w="1728"/>
          </w:tcPr>
          <w:p>
            <w:r>
              <w:t>Research Independence</w:t>
            </w:r>
          </w:p>
        </w:tc>
        <w:tc>
          <w:tcPr>
            <w:tcW w:type="dxa" w:w="1728"/>
          </w:tcPr>
          <w:p>
            <w:r>
              <w:t>CS + TM</w:t>
            </w:r>
          </w:p>
        </w:tc>
        <w:tc>
          <w:tcPr>
            <w:tcW w:type="dxa" w:w="1728"/>
          </w:tcPr>
          <w:p>
            <w:r>
              <w:t>High</w:t>
            </w:r>
          </w:p>
        </w:tc>
        <w:tc>
          <w:tcPr>
            <w:tcW w:type="dxa" w:w="1728"/>
          </w:tcPr>
          <w:p>
            <w:r>
              <w:t>CRITICAL</w:t>
            </w:r>
          </w:p>
        </w:tc>
      </w:tr>
      <w:tr>
        <w:tc>
          <w:tcPr>
            <w:tcW w:type="dxa" w:w="1728"/>
          </w:tcPr>
          <w:p>
            <w:r>
              <w:t>CS-17</w:t>
            </w:r>
          </w:p>
        </w:tc>
        <w:tc>
          <w:tcPr>
            <w:tcW w:type="dxa" w:w="1728"/>
          </w:tcPr>
          <w:p>
            <w:r>
              <w:t>Elder Financial Exploitation</w:t>
            </w:r>
          </w:p>
        </w:tc>
        <w:tc>
          <w:tcPr>
            <w:tcW w:type="dxa" w:w="1728"/>
          </w:tcPr>
          <w:p>
            <w:r>
              <w:t>TM + CS</w:t>
            </w:r>
          </w:p>
        </w:tc>
        <w:tc>
          <w:tcPr>
            <w:tcW w:type="dxa" w:w="1728"/>
          </w:tcPr>
          <w:p>
            <w:r>
              <w:t>High</w:t>
            </w:r>
          </w:p>
        </w:tc>
        <w:tc>
          <w:tcPr>
            <w:tcW w:type="dxa" w:w="1728"/>
          </w:tcPr>
          <w:p>
            <w:r>
              <w:t>CRITICAL</w:t>
            </w:r>
          </w:p>
        </w:tc>
      </w:tr>
      <w:tr>
        <w:tc>
          <w:tcPr>
            <w:tcW w:type="dxa" w:w="1728"/>
          </w:tcPr>
          <w:p>
            <w:r>
              <w:t>CS-18</w:t>
            </w:r>
          </w:p>
        </w:tc>
        <w:tc>
          <w:tcPr>
            <w:tcW w:type="dxa" w:w="1728"/>
          </w:tcPr>
          <w:p>
            <w:r>
              <w:t>FALSE POSITIVE – Legitimate Block Trade</w:t>
            </w:r>
          </w:p>
        </w:tc>
        <w:tc>
          <w:tcPr>
            <w:tcW w:type="dxa" w:w="1728"/>
          </w:tcPr>
          <w:p>
            <w:r>
              <w:t>TM</w:t>
            </w:r>
          </w:p>
        </w:tc>
        <w:tc>
          <w:tcPr>
            <w:tcW w:type="dxa" w:w="1728"/>
          </w:tcPr>
          <w:p>
            <w:r>
              <w:t>Medium</w:t>
            </w:r>
          </w:p>
        </w:tc>
        <w:tc>
          <w:tcPr>
            <w:tcW w:type="dxa" w:w="1728"/>
          </w:tcPr>
          <w:p>
            <w:r>
              <w:t>NO ALERT</w:t>
            </w:r>
          </w:p>
        </w:tc>
      </w:tr>
      <w:tr>
        <w:tc>
          <w:tcPr>
            <w:tcW w:type="dxa" w:w="1728"/>
          </w:tcPr>
          <w:p>
            <w:r>
              <w:t>CS-19</w:t>
            </w:r>
          </w:p>
        </w:tc>
        <w:tc>
          <w:tcPr>
            <w:tcW w:type="dxa" w:w="1728"/>
          </w:tcPr>
          <w:p>
            <w:r>
              <w:t>Multi-Jurisdiction Regulatory Conflict</w:t>
            </w:r>
          </w:p>
        </w:tc>
        <w:tc>
          <w:tcPr>
            <w:tcW w:type="dxa" w:w="1728"/>
          </w:tcPr>
          <w:p>
            <w:r>
              <w:t>RU</w:t>
            </w:r>
          </w:p>
        </w:tc>
        <w:tc>
          <w:tcPr>
            <w:tcW w:type="dxa" w:w="1728"/>
          </w:tcPr>
          <w:p>
            <w:r>
              <w:t>High</w:t>
            </w:r>
          </w:p>
        </w:tc>
        <w:tc>
          <w:tcPr>
            <w:tcW w:type="dxa" w:w="1728"/>
          </w:tcPr>
          <w:p>
            <w:r>
              <w:t>HIGH</w:t>
            </w:r>
          </w:p>
        </w:tc>
      </w:tr>
      <w:tr>
        <w:tc>
          <w:tcPr>
            <w:tcW w:type="dxa" w:w="1728"/>
          </w:tcPr>
          <w:p>
            <w:r>
              <w:t>CS-20</w:t>
            </w:r>
          </w:p>
        </w:tc>
        <w:tc>
          <w:tcPr>
            <w:tcW w:type="dxa" w:w="1728"/>
          </w:tcPr>
          <w:p>
            <w:r>
              <w:t>COORDINATED – Complex Money Laundering through Trade Finance</w:t>
            </w:r>
          </w:p>
        </w:tc>
        <w:tc>
          <w:tcPr>
            <w:tcW w:type="dxa" w:w="1728"/>
          </w:tcPr>
          <w:p>
            <w:r>
              <w:t>ALL FOUR</w:t>
            </w:r>
          </w:p>
        </w:tc>
        <w:tc>
          <w:tcPr>
            <w:tcW w:type="dxa" w:w="1728"/>
          </w:tcPr>
          <w:p>
            <w:r>
              <w:t>Very High</w:t>
            </w:r>
          </w:p>
        </w:tc>
        <w:tc>
          <w:tcPr>
            <w:tcW w:type="dxa" w:w="1728"/>
          </w:tcPr>
          <w:p>
            <w:r>
              <w:t>CRITICAL</w:t>
            </w:r>
          </w:p>
        </w:tc>
      </w:tr>
    </w:tbl>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