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Technical Architecture and Agent Framework for Compute–Energy Co-optimization</w:t>
      </w:r>
    </w:p>
    <w:p>
      <w:pPr>
        <w:pStyle w:val="Heading2"/>
        <w:pStyle w:val="MdHeading2"/>
      </w:pPr>
      <w:r>
        <w:t xml:space="preserve">Technical Architecture</w:t>
      </w:r>
    </w:p>
    <w:p>
      <w:pPr>
        <w:pStyle w:val="MdParagraph"/>
      </w:pPr>
      <w:r>
        <w:t xml:space="preserve">The proposed solution utilizes a </w:t>
      </w:r>
      <w:r>
        <w:rPr>
          <w:rStyle w:val="MdStrong"/>
          <w:b/>
          <w:bCs/>
        </w:rPr>
        <w:t xml:space="preserve">Decentralized Agentic Orchestration System</w:t>
      </w:r>
      <w:r>
        <w:t xml:space="preserve"> built on a microservices architecture, leveraging the </w:t>
      </w:r>
      <w:r>
        <w:rPr>
          <w:rStyle w:val="MdStrong"/>
          <w:b/>
          <w:bCs/>
        </w:rPr>
        <w:t xml:space="preserve">Beckn Protocol</w:t>
      </w:r>
      <w:r>
        <w:t xml:space="preserve"> for secure, interoperable, and auditable communication between independent agents.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Component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Description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Technology Focus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Beckn Gateway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Central communication hub for all agents, handling discovery, request routing, and message validation according to the Beckn Protocol specifications.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Beckn Protocol, Message Queue (e.g., Kafka)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Co-optimization Engine (ML Core)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central intelligence unit. It ingests real-time data (compute demand, energy price, carbon intensity) and uses a </w:t>
            </w:r>
            <w:r>
              <w:rPr>
                <w:rStyle w:val="MdStrong"/>
                <w:b/>
                <w:bCs/>
              </w:rPr>
              <w:t xml:space="preserve">Reinforcement Learning (RL) or Time-Series Forecasting/Classification Model</w:t>
            </w:r>
            <w:r>
              <w:t xml:space="preserve"> to determine the optimal action (Run, Defer, Storage Discharge) that minimizes cost per inference while adhering to the carbon cap.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Python, Scikit-learn/TensorFlow/PyTorch, Optimization Algorithms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Data Ingestion &amp; Forecasting Service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Collects and processes time-series data from external APIs (Grid Operator, Carbon Intensity Trackers) and internal systems (Compute Cluster Monitor). It forecasts short-term spikes in compute demand and grid signals.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Time-Series Databases (e.g., InfluxDB), Forecasting Models (e.g., ARIMA, Prophet)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Audit &amp; Logging Service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Maintains a tamper-proof, timestamped record of all decisions, data sources, Beckn transactions (OBP IDs), and system outcomes, ensuring full traceability for regulatory review.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Distributed Ledger Technology (DLT) or Immutable Database (e.g., PostgreSQL with audit trails)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Orchestration &amp; Dispatch Layer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Translates the optimal action from the Co-optimization Engine into executable commands for the Compute Cluster and Energy Storage systems.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API Gateway, Command Dispatchers</w:t>
            </w:r>
          </w:p>
        </w:tc>
      </w:tr>
    </w:tbl>
    <w:p>
      <w:pPr>
        <w:pStyle w:val="Heading2"/>
        <w:pStyle w:val="MdHeading2"/>
      </w:pPr>
      <w:r>
        <w:t xml:space="preserve">Key Agents and their Roles</w:t>
      </w:r>
    </w:p>
    <w:p>
      <w:pPr>
        <w:pStyle w:val="MdParagraph"/>
      </w:pPr>
      <w:r>
        <w:t xml:space="preserve">The system is composed of three primary agents, each fulfilling a distinct role in the Beckn transaction lifecycle (Catalog, Order, Fulfillment).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Agent Name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Primary Role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Beckn Protocol Role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Key Responsibilities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Compute Agent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Manages AI workload scheduling and flexibility.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Provider/Catalog Publisher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1. Publish available compute job slots and their flexibility windows as a Beckn </w:t>
            </w:r>
            <w:r>
              <w:rPr>
                <w:rStyle w:val="MdCode"/>
                <w:u w:val="single"/>
              </w:rPr>
              <w:t xml:space="preserve">Catalog</w:t>
            </w:r>
            <w:r>
              <w:t xml:space="preserve">. 2. Receive and process </w:t>
            </w:r>
            <w:r>
              <w:rPr>
                <w:rStyle w:val="MdCode"/>
                <w:u w:val="single"/>
              </w:rPr>
              <w:t xml:space="preserve">Order</w:t>
            </w:r>
            <w:r>
              <w:t xml:space="preserve"> requests (e.g., deferral commands). 3. Report job completion and energy consumption.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Grid Co-optimization Agent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central decision-maker for energy-aware scheduling.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Buyer/Order Initiator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1. Ingest real-time grid and compute data. 2. Run the ML Co-optimization Model. 3. Initiate Beckn </w:t>
            </w:r>
            <w:r>
              <w:rPr>
                <w:rStyle w:val="MdCode"/>
                <w:u w:val="single"/>
              </w:rPr>
              <w:t xml:space="preserve">Order</w:t>
            </w:r>
            <w:r>
              <w:t xml:space="preserve"> transactions to the Compute Agent (deferral) or Storage Agent (discharge). 4. Ensure the $\text{£/inference}$ target and carbon cap are met.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Energy Storage Agent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Manages the local energy storage (e.g., battery) for flexibility.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Provider/Fulfillment Executor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1. Publish current State of Charge (SoC) and discharge capacity. 2. Receive and execute </w:t>
            </w:r>
            <w:r>
              <w:rPr>
                <w:rStyle w:val="MdCode"/>
                <w:u w:val="single"/>
              </w:rPr>
              <w:t xml:space="preserve">Order</w:t>
            </w:r>
            <w:r>
              <w:t xml:space="preserve"> requests from the Grid Agent to discharge energy to the compute cluster. 3. Report energy flow and updated SoC.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Beckn Workflow Integration:</w:t>
      </w:r>
      <w:r>
        <w:t xml:space="preserve">
The Compute Agent publishes its flexible job slots (e.g., "Run anytime in the next 4 hours") as a </w:t>
      </w:r>
      <w:r>
        <w:rPr>
          <w:rStyle w:val="MdStrong"/>
          <w:b/>
          <w:bCs/>
        </w:rPr>
        <w:t xml:space="preserve">Catalog</w:t>
      </w:r>
      <w:r>
        <w:t xml:space="preserve"> item. The Grid Co-optimization Agent acts as the </w:t>
      </w:r>
      <w:r>
        <w:rPr>
          <w:rStyle w:val="MdStrong"/>
          <w:b/>
          <w:bCs/>
        </w:rPr>
        <w:t xml:space="preserve">Buyer</w:t>
      </w:r>
      <w:r>
        <w:t xml:space="preserve">, querying the Catalog and initiating an </w:t>
      </w:r>
      <w:r>
        <w:rPr>
          <w:rStyle w:val="MdStrong"/>
          <w:b/>
          <w:bCs/>
        </w:rPr>
        <w:t xml:space="preserve">Order</w:t>
      </w:r>
      <w:r>
        <w:t xml:space="preserve"> (e.g., "Defer this job until 16:00") when the ML model determines it is optimal due to high carbon intensity or price. The Storage Agent acts as a </w:t>
      </w:r>
      <w:r>
        <w:rPr>
          <w:rStyle w:val="MdStrong"/>
          <w:b/>
          <w:bCs/>
        </w:rPr>
        <w:t xml:space="preserve">Fulfillment</w:t>
      </w:r>
      <w:r>
        <w:t xml:space="preserve"> provider, executing a discharge command when the Grid Agent orders it to provide low-carbon, low-cost energy.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2025-11-23T15:00:24.302Z</dcterms:created>
  <dcterms:modified xsi:type="dcterms:W3CDTF">2025-11-23T15:00:24.302Z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