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80"/>
        <w:jc w:val="center"/>
      </w:pPr>
      <w:r>
        <w:rPr>
          <w:b/>
          <w:bCs/>
          <w:color w:val="2E75B6"/>
          <w:spacing w:val="40"/>
          <w:sz w:val="22"/>
          <w:szCs w:val="22"/>
        </w:rPr>
        <w:t xml:space="preserve">SPARKATHON 2026  ·  NICE</w:t>
      </w:r>
    </w:p>
    <w:p>
      <w:pPr>
        <w:spacing w:after="60"/>
        <w:jc w:val="center"/>
      </w:pPr>
      <w:r>
        <w:rPr>
          <w:b/>
          <w:bCs/>
          <w:color w:val="1F3864"/>
          <w:sz w:val="46"/>
          <w:szCs w:val="46"/>
        </w:rPr>
        <w:t xml:space="preserve">LEXICON — INTEGRITY LAYER</w:t>
      </w:r>
    </w:p>
    <w:p>
      <w:pPr>
        <w:spacing w:after="200"/>
        <w:jc w:val="center"/>
      </w:pPr>
      <w:r>
        <w:rPr>
          <w:b/>
          <w:bCs/>
          <w:i/>
          <w:iCs/>
          <w:color w:val="C55A11"/>
          <w:sz w:val="28"/>
          <w:szCs w:val="28"/>
        </w:rPr>
        <w:t xml:space="preserve">Design: Data-Integrity at the ACD → WFM Boundary</w:t>
      </w:r>
    </w:p>
    <w:p>
      <w:pPr>
        <w:pBdr>
          <w:top w:val="single" w:color="2E75B6" w:sz="6" w:space="6"/>
          <w:bottom w:val="single" w:color="2E75B6" w:sz="6" w:space="6"/>
        </w:pBdr>
        <w:spacing w:after="60"/>
        <w:jc w:val="center"/>
      </w:pPr>
      <w:r>
        <w:rPr>
          <w:i/>
          <w:iCs/>
          <w:color w:val="595959"/>
          <w:sz w:val="22"/>
          <w:szCs w:val="22"/>
        </w:rPr>
        <w:t xml:space="preserve">Catching the failures that are invisible because the transform is correct.</w:t>
      </w:r>
    </w:p>
    <w:p>
      <w:pPr>
        <w:spacing w:after="40" w:before="2400"/>
        <w:jc w:val="center"/>
      </w:pPr>
      <w:r>
        <w:rPr>
          <w:color w:val="595959"/>
          <w:sz w:val="22"/>
          <w:szCs w:val="22"/>
        </w:rPr>
        <w:t xml:space="preserve">Author: Swapnil Zade</w:t>
      </w:r>
    </w:p>
    <w:p>
      <w:pPr>
        <w:jc w:val="center"/>
      </w:pPr>
      <w:r>
        <w:rPr>
          <w:color w:val="595959"/>
          <w:sz w:val="22"/>
          <w:szCs w:val="22"/>
        </w:rPr>
        <w:t xml:space="preserve">Companion to the Lexicon mapping harness</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50" w:line="274"/>
        <w:jc w:val="both"/>
      </w:pPr>
      <w:r>
        <w:t xml:space="preserve">Lexicon today makes the ACD→NICE mapping correct and enforceable. Once a transformer is approved and tested, it runs unattended and keeps producing files. This design adds an Integrity Layer that guarantees the data flowing through that correct transformer is complete and consistent — catching two production failure classes that the mapping harness, by design, cannot see, and that the downstream WFM cannot see either.</w:t>
      </w:r>
    </w:p>
    <w:p>
      <w:pPr>
        <w:spacing w:after="150" w:line="274"/>
        <w:jc w:val="both"/>
      </w:pPr>
      <w:r>
        <w:rPr>
          <w:b/>
          <w:bCs/>
        </w:rPr>
        <w:t xml:space="preserve">Two capabilities: </w:t>
      </w:r>
      <w:r>
        <w:t xml:space="preserve">(A) Completeness &amp; Cause — distinguishing a missing/failed extract from a genuine drop in volume; and (B) Queue Identity Resolution — detecting when an ACD renumbers a queue and stitching history so WFM sees one continuous queue.</w:t>
      </w:r>
    </w:p>
    <w:p>
      <w:pPr>
        <w:pStyle w:val="Heading1"/>
      </w:pPr>
      <w:r>
        <w:t xml:space="preserve">2. The gap these features fill</w:t>
      </w:r>
    </w:p>
    <w:p>
      <w:pPr>
        <w:spacing w:after="150" w:line="274"/>
        <w:jc w:val="both"/>
      </w:pPr>
      <w:r>
        <w:t xml:space="preserve">It is important to be precise about why this is not already covered, so the layer does not duplicate existing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rPr>
              <w:t xml:space="preserve">Existing check</w:t>
            </w:r>
          </w:p>
        </w:tc>
        <w:tc>
          <w:tcPr>
            <w:tcW w:type="dxa" w:w="624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rPr>
              <w:t xml:space="preserve">What it does — and its blind spot</w:t>
            </w:r>
          </w:p>
        </w:tc>
      </w:tr>
      <w:tr>
        <w:trPr>
          <w:tblHeader w:val="false"/>
        </w:trPr>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Contract tests / verify</w:t>
            </w:r>
          </w:p>
        </w:tc>
        <w:tc>
          <w:tcPr>
            <w:tcW w:type="dxa" w:w="624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Confirm the mapping is CORRECT, once, at approval, against golden data. Blind to whether the right input arrived at run time.</w:t>
            </w:r>
          </w:p>
        </w:tc>
      </w:tr>
      <w:tr>
        <w:trPr>
          <w:tblHeader w:val="false"/>
        </w:trPr>
        <w:tc>
          <w:tcPr>
            <w:tcW w:type="dxa" w:w="3120"/>
            <w:tcBorders>
              <w:top w:val="single" w:color="BFBFBF" w:sz="1"/>
              <w:left w:val="single" w:color="BFBFBF" w:sz="1"/>
              <w:bottom w:val="single" w:color="BFBFBF" w:sz="1"/>
              <w:right w:val="single" w:color="BFBFBF" w:sz="1"/>
            </w:tcBorders>
            <w:shd w:fill="EAF0FA" w:val="clear"/>
            <w:tcMar>
              <w:top w:type="dxa" w:w="70"/>
              <w:left w:type="dxa" w:w="110"/>
              <w:bottom w:type="dxa" w:w="70"/>
              <w:right w:type="dxa" w:w="110"/>
            </w:tcMar>
          </w:tcPr>
          <w:p>
            <w:r>
              <w:rPr>
                <w:b w:val="false"/>
                <w:bCs w:val="false"/>
              </w:rPr>
              <w:t xml:space="preserve">Sensor</w:t>
            </w:r>
          </w:p>
        </w:tc>
        <w:tc>
          <w:tcPr>
            <w:tcW w:type="dxa" w:w="6240"/>
            <w:tcBorders>
              <w:top w:val="single" w:color="BFBFBF" w:sz="1"/>
              <w:left w:val="single" w:color="BFBFBF" w:sz="1"/>
              <w:bottom w:val="single" w:color="BFBFBF" w:sz="1"/>
              <w:right w:val="single" w:color="BFBFBF" w:sz="1"/>
            </w:tcBorders>
            <w:shd w:fill="EAF0FA" w:val="clear"/>
            <w:tcMar>
              <w:top w:type="dxa" w:w="70"/>
              <w:left w:type="dxa" w:w="110"/>
              <w:bottom w:type="dxa" w:w="70"/>
              <w:right w:type="dxa" w:w="110"/>
            </w:tcMar>
          </w:tcPr>
          <w:p>
            <w:r>
              <w:rPr>
                <w:b w:val="false"/>
                <w:bCs w:val="false"/>
              </w:rPr>
              <w:t xml:space="preserve">Catches vocabulary drift and vendor-term leaks in code/output. Not a per-interval data-completeness check.</w:t>
            </w:r>
          </w:p>
        </w:tc>
      </w:tr>
      <w:tr>
        <w:trPr>
          <w:tblHeader w:val="false"/>
        </w:trPr>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DTD validation</w:t>
            </w:r>
          </w:p>
        </w:tc>
        <w:tc>
          <w:tcPr>
            <w:tcW w:type="dxa" w:w="624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Confirms the file is structurally valid. An empty-but-valid interval passes.</w:t>
            </w:r>
          </w:p>
        </w:tc>
      </w:tr>
      <w:tr>
        <w:trPr>
          <w:tblHeader w:val="false"/>
        </w:trPr>
        <w:tc>
          <w:tcPr>
            <w:tcW w:type="dxa" w:w="3120"/>
            <w:tcBorders>
              <w:top w:val="single" w:color="BFBFBF" w:sz="1"/>
              <w:left w:val="single" w:color="BFBFBF" w:sz="1"/>
              <w:bottom w:val="single" w:color="BFBFBF" w:sz="1"/>
              <w:right w:val="single" w:color="BFBFBF" w:sz="1"/>
            </w:tcBorders>
            <w:shd w:fill="EAF0FA" w:val="clear"/>
            <w:tcMar>
              <w:top w:type="dxa" w:w="70"/>
              <w:left w:type="dxa" w:w="110"/>
              <w:bottom w:type="dxa" w:w="70"/>
              <w:right w:type="dxa" w:w="110"/>
            </w:tcMar>
          </w:tcPr>
          <w:p>
            <w:r>
              <w:rPr>
                <w:b w:val="false"/>
                <w:bCs w:val="false"/>
              </w:rPr>
              <w:t xml:space="preserve">NICE WFM</w:t>
            </w:r>
          </w:p>
        </w:tc>
        <w:tc>
          <w:tcPr>
            <w:tcW w:type="dxa" w:w="6240"/>
            <w:tcBorders>
              <w:top w:val="single" w:color="BFBFBF" w:sz="1"/>
              <w:left w:val="single" w:color="BFBFBF" w:sz="1"/>
              <w:bottom w:val="single" w:color="BFBFBF" w:sz="1"/>
              <w:right w:val="single" w:color="BFBFBF" w:sz="1"/>
            </w:tcBorders>
            <w:shd w:fill="EAF0FA" w:val="clear"/>
            <w:tcMar>
              <w:top w:type="dxa" w:w="70"/>
              <w:left w:type="dxa" w:w="110"/>
              <w:bottom w:type="dxa" w:w="70"/>
              <w:right w:type="dxa" w:w="110"/>
            </w:tcMar>
          </w:tcPr>
          <w:p>
            <w:r>
              <w:rPr>
                <w:b w:val="false"/>
                <w:bCs w:val="false"/>
              </w:rPr>
              <w:t xml:space="preserve">Forecasts and flags business outliers on the data it RECEIVES. Cannot see the source, so cannot tell a pipeline gap from a real drop.</w:t>
            </w:r>
          </w:p>
        </w:tc>
      </w:tr>
    </w:tbl>
    <w:p>
      <w:pPr>
        <w:spacing w:after="150" w:line="274"/>
        <w:jc w:val="both"/>
      </w:pPr>
      <w:r>
        <w:rPr>
          <w:b/>
          <w:bCs/>
        </w:rPr>
        <w:t xml:space="preserve">The core insight: </w:t>
      </w:r>
      <w:r>
        <w:t xml:space="preserve">a correct transformer faithfully turns a missing extract into a missing output. 0 rows in produces 0 out — a valid, correct result. Every existing check runs on the transform, not on whether the input showed up. The Integrity Layer is the only place this failure becomes visible.</w:t>
      </w:r>
    </w:p>
    <w:p>
      <w:pPr>
        <w:pStyle w:val="Heading1"/>
      </w:pPr>
      <w:r>
        <w:t xml:space="preserve">3. Overview &amp; pipeline placement</w:t>
      </w:r>
    </w:p>
    <w:p>
      <w:pPr>
        <w:spacing w:after="150" w:line="274"/>
        <w:jc w:val="both"/>
      </w:pPr>
      <w:r>
        <w:t xml:space="preserve">The layer is a new step that runs after mapping and before the NICE file is finalized — the exact boundary where both the source truth and the canonical output are visible. It is stateful: it keeps a short rolling history keyed on the canonical model.</w:t>
      </w:r>
    </w:p>
    <w:p>
      <w:pPr>
        <w:shd w:fill="EAF0FA" w:val="clear"/>
        <w:spacing w:after="0"/>
      </w:pPr>
      <w:r>
        <w:rPr>
          <w:rFonts w:ascii="Consolas" w:cs="Consolas" w:eastAsia="Consolas" w:hAnsi="Consolas"/>
          <w:color w:val="333333"/>
          <w:sz w:val="17"/>
          <w:szCs w:val="17"/>
        </w:rPr>
        <w:t xml:space="preserve">  Extract (raw ACD)  -&gt;  Transform (engine + approved mapping)</w:t>
      </w:r>
    </w:p>
    <w:p>
      <w:pPr>
        <w:shd w:fill="EAF0FA" w:val="clear"/>
        <w:spacing w:after="0"/>
      </w:pPr>
      <w:r>
        <w:rPr>
          <w:rFonts w:ascii="Consolas" w:cs="Consolas" w:eastAsia="Consolas" w:hAnsi="Consolas"/>
          <w:color w:val="333333"/>
          <w:sz w:val="17"/>
          <w:szCs w:val="17"/>
        </w:rPr>
        <w:t xml:space="preserve">                                    |  canonical records (Queue, Agent-Queue, Agent-System)</w:t>
      </w:r>
    </w:p>
    <w:p>
      <w:pPr>
        <w:shd w:fill="EAF0FA" w:val="clear"/>
        <w:spacing w:after="0"/>
      </w:pPr>
      <w:r>
        <w:rPr>
          <w:rFonts w:ascii="Consolas" w:cs="Consolas" w:eastAsia="Consolas" w:hAnsi="Consolas"/>
          <w:color w:val="333333"/>
          <w:sz w:val="17"/>
          <w:szCs w:val="17"/>
        </w:rPr>
        <w:t xml:space="preserve">                                    v</w:t>
      </w:r>
    </w:p>
    <w:p>
      <w:pPr>
        <w:shd w:fill="EAF0FA" w:val="clear"/>
        <w:spacing w:after="0"/>
      </w:pPr>
      <w:r>
        <w:rPr>
          <w:rFonts w:ascii="Consolas" w:cs="Consolas" w:eastAsia="Consolas" w:hAnsi="Consolas"/>
          <w:color w:val="333333"/>
          <w:sz w:val="17"/>
          <w:szCs w:val="17"/>
        </w:rPr>
        <w:t xml:space="preserve">                         [ INTEGRITY PASS ]  &lt;---- History Store (canonical, ~30 days)</w:t>
      </w:r>
    </w:p>
    <w:p>
      <w:pPr>
        <w:shd w:fill="EAF0FA" w:val="clear"/>
        <w:spacing w:after="0"/>
      </w:pPr>
      <w:r>
        <w:rPr>
          <w:rFonts w:ascii="Consolas" w:cs="Consolas" w:eastAsia="Consolas" w:hAnsi="Consolas"/>
          <w:color w:val="333333"/>
          <w:sz w:val="17"/>
          <w:szCs w:val="17"/>
        </w:rPr>
        <w:t xml:space="preserve">                          A. Completeness &amp; Cause     Baseline profiles</w:t>
      </w:r>
    </w:p>
    <w:p>
      <w:pPr>
        <w:shd w:fill="EAF0FA" w:val="clear"/>
        <w:spacing w:after="0"/>
      </w:pPr>
      <w:r>
        <w:rPr>
          <w:rFonts w:ascii="Consolas" w:cs="Consolas" w:eastAsia="Consolas" w:hAnsi="Consolas"/>
          <w:color w:val="333333"/>
          <w:sz w:val="17"/>
          <w:szCs w:val="17"/>
        </w:rPr>
        <w:t xml:space="preserve">                          B. Queue Identity Resolution Queue registry</w:t>
      </w:r>
    </w:p>
    <w:p>
      <w:pPr>
        <w:shd w:fill="EAF0FA" w:val="clear"/>
        <w:spacing w:after="0"/>
      </w:pPr>
      <w:r>
        <w:rPr>
          <w:rFonts w:ascii="Consolas" w:cs="Consolas" w:eastAsia="Consolas" w:hAnsi="Consolas"/>
          <w:color w:val="333333"/>
          <w:sz w:val="17"/>
          <w:szCs w:val="17"/>
        </w:rPr>
        <w:t xml:space="preserve">                                    |</w:t>
      </w:r>
    </w:p>
    <w:p>
      <w:pPr>
        <w:shd w:fill="EAF0FA" w:val="clear"/>
        <w:spacing w:after="0"/>
      </w:pPr>
      <w:r>
        <w:rPr>
          <w:rFonts w:ascii="Consolas" w:cs="Consolas" w:eastAsia="Consolas" w:hAnsi="Consolas"/>
          <w:color w:val="333333"/>
          <w:sz w:val="17"/>
          <w:szCs w:val="17"/>
        </w:rPr>
        <w:t xml:space="preserve">                        NICE file  +  data_health / identity_events (sidecar)</w:t>
      </w:r>
    </w:p>
    <w:p>
      <w:pPr>
        <w:shd w:fill="EAF0FA" w:val="clear"/>
        <w:spacing w:after="0"/>
      </w:pPr>
      <w:r>
        <w:rPr>
          <w:rFonts w:ascii="Consolas" w:cs="Consolas" w:eastAsia="Consolas" w:hAnsi="Consolas"/>
          <w:color w:val="333333"/>
          <w:sz w:val="17"/>
          <w:szCs w:val="17"/>
        </w:rPr>
        <w:t xml:space="preserve">                                    v</w:t>
      </w:r>
    </w:p>
    <w:p>
      <w:pPr>
        <w:shd w:fill="EAF0FA" w:val="clear"/>
        <w:spacing w:after="0"/>
      </w:pPr>
      <w:r>
        <w:rPr>
          <w:rFonts w:ascii="Consolas" w:cs="Consolas" w:eastAsia="Consolas" w:hAnsi="Consolas"/>
          <w:color w:val="333333"/>
          <w:sz w:val="17"/>
          <w:szCs w:val="17"/>
        </w:rPr>
        <w:t xml:space="preserve">                                  WFM</w:t>
      </w:r>
    </w:p>
    <w:p>
      <w:pPr>
        <w:spacing w:after="150"/>
      </w:pPr>
    </w:p>
    <w:p>
      <w:pPr>
        <w:pStyle w:val="Heading2"/>
      </w:pPr>
      <w:r>
        <w:t xml:space="preserve">3.1 New building blocks</w:t>
      </w:r>
    </w:p>
    <w:p>
      <w:pPr>
        <w:pStyle w:val="ListParagraph"/>
        <w:numPr>
          <w:ilvl w:val="0"/>
          <w:numId w:val="2"/>
        </w:numPr>
        <w:spacing w:after="70" w:line="264"/>
      </w:pPr>
      <w:r>
        <w:rPr>
          <w:b/>
          <w:bCs/>
        </w:rPr>
        <w:t xml:space="preserve">History Store — </w:t>
      </w:r>
      <w:r>
        <w:t xml:space="preserve">a rolling store (≈30 days) of the canonical records the engine already produces, per customer, per queue, per interval. Vendor-neutral because it is keyed on the canonical model.</w:t>
      </w:r>
    </w:p>
    <w:p>
      <w:pPr>
        <w:pStyle w:val="ListParagraph"/>
        <w:numPr>
          <w:ilvl w:val="0"/>
          <w:numId w:val="2"/>
        </w:numPr>
        <w:spacing w:after="70" w:line="264"/>
      </w:pPr>
      <w:r>
        <w:rPr>
          <w:b/>
          <w:bCs/>
        </w:rPr>
        <w:t xml:space="preserve">Baseline profiles — </w:t>
      </w:r>
      <w:r>
        <w:t xml:space="preserve">an expected value per (queue × weekday × time-of-day slot), derived from the History Store. Encodes the intraday curve and operating hours, so naturally-quiet slots are never flagged.</w:t>
      </w:r>
    </w:p>
    <w:p>
      <w:pPr>
        <w:pStyle w:val="ListParagraph"/>
        <w:numPr>
          <w:ilvl w:val="0"/>
          <w:numId w:val="2"/>
        </w:numPr>
        <w:spacing w:after="70" w:line="264"/>
      </w:pPr>
      <w:r>
        <w:rPr>
          <w:b/>
          <w:bCs/>
        </w:rPr>
        <w:t xml:space="preserve">Queue registry — </w:t>
      </w:r>
      <w:r>
        <w:t xml:space="preserve">the known canonical queue identities, each with a behavioural fingerprint and its current vendor key(s).</w:t>
      </w:r>
    </w:p>
    <w:p>
      <w:pPr>
        <w:pStyle w:val="ListParagraph"/>
        <w:numPr>
          <w:ilvl w:val="0"/>
          <w:numId w:val="2"/>
        </w:numPr>
        <w:spacing w:after="70" w:line="264"/>
      </w:pPr>
      <w:r>
        <w:rPr>
          <w:b/>
          <w:bCs/>
        </w:rPr>
        <w:t xml:space="preserve">Integrity pass — </w:t>
      </w:r>
      <w:r>
        <w:t xml:space="preserve">the new runtime step that reads the current interval's canonical records plus the History Store and emits the sidecar findings.</w:t>
      </w:r>
    </w:p>
    <w:p>
      <w:r>
        <w:br w:type="page"/>
      </w:r>
    </w:p>
    <w:p>
      <w:pPr>
        <w:pStyle w:val="Heading1"/>
      </w:pPr>
      <w:r>
        <w:t xml:space="preserve">4. Feature A — Completeness &amp; Cause</w:t>
      </w:r>
    </w:p>
    <w:p>
      <w:pPr>
        <w:spacing w:after="150" w:line="274"/>
        <w:jc w:val="both"/>
      </w:pPr>
      <w:r>
        <w:t xml:space="preserve">Goal: when an expected-busy slot arrives empty or abnormally low, decide whether it is a pipeline gap (missing/failed/partial extract) or a genuine drop — and act accordingly, so WFM never learns a false demand drop.</w:t>
      </w:r>
    </w:p>
    <w:p>
      <w:pPr>
        <w:pStyle w:val="Heading2"/>
      </w:pPr>
      <w:r>
        <w:t xml:space="preserve">4.1 The decisive signal: cross-report contradiction</w:t>
      </w:r>
    </w:p>
    <w:p>
      <w:pPr>
        <w:spacing w:after="150" w:line="274"/>
        <w:jc w:val="both"/>
      </w:pPr>
      <w:r>
        <w:t xml:space="preserve">The strongest evidence comes from comparing the three reports we already generate. If Agent-System shows agents were staffed and ready during the interval, but Queue shows zero handled, that is a contradiction: agents were available to take calls, yet no queue activity was recorded. Both reports transformed correctly; the inconsistency between them reveals a partial or failed queue extract. WFM and the mapping checks cannot see this — only a layer holding all three canonical feeds together can.</w:t>
      </w:r>
    </w:p>
    <w:p>
      <w:pPr>
        <w:pStyle w:val="Heading2"/>
      </w:pPr>
      <w:r>
        <w:t xml:space="preserve">4.2 Decision logic</w:t>
      </w:r>
    </w:p>
    <w:p>
      <w:pPr>
        <w:pStyle w:val="ListParagraph"/>
        <w:numPr>
          <w:ilvl w:val="0"/>
          <w:numId w:val="3"/>
        </w:numPr>
        <w:spacing w:after="70" w:line="264"/>
      </w:pPr>
      <w:r>
        <w:rPr>
          <w:b/>
          <w:bCs/>
        </w:rPr>
        <w:t xml:space="preserve">Trigger — </w:t>
      </w:r>
      <w:r>
        <w:t xml:space="preserve">The current interval's canonical Queue records are compared to the baseline for that (queue × weekday × slot). Naturally-quiet slots (e.g. after hours) expect ~0 and never trigger.</w:t>
      </w:r>
    </w:p>
    <w:p>
      <w:pPr>
        <w:pStyle w:val="ListParagraph"/>
        <w:numPr>
          <w:ilvl w:val="0"/>
          <w:numId w:val="3"/>
        </w:numPr>
        <w:spacing w:after="70" w:line="264"/>
      </w:pPr>
      <w:r>
        <w:rPr>
          <w:b/>
          <w:bCs/>
        </w:rPr>
        <w:t xml:space="preserve">Cross-report check — </w:t>
      </w:r>
      <w:r>
        <w:t xml:space="preserve">Agents staffed/ready in Agent-System but zero handled in Queue for the same interval → strong pipeline-gap signal.</w:t>
      </w:r>
    </w:p>
    <w:p>
      <w:pPr>
        <w:pStyle w:val="ListParagraph"/>
        <w:numPr>
          <w:ilvl w:val="0"/>
          <w:numId w:val="3"/>
        </w:numPr>
        <w:spacing w:after="70" w:line="264"/>
      </w:pPr>
      <w:r>
        <w:rPr>
          <w:b/>
          <w:bCs/>
        </w:rPr>
        <w:t xml:space="preserve">Whole-feed check — </w:t>
      </w:r>
      <w:r>
        <w:t xml:space="preserve">If every queue drops to ~0 in the same interval → whole-feed transport/extract failure (queues do not all go quiet at once).</w:t>
      </w:r>
    </w:p>
    <w:p>
      <w:pPr>
        <w:pStyle w:val="ListParagraph"/>
        <w:numPr>
          <w:ilvl w:val="0"/>
          <w:numId w:val="3"/>
        </w:numPr>
        <w:spacing w:after="70" w:line="264"/>
      </w:pPr>
      <w:r>
        <w:rPr>
          <w:b/>
          <w:bCs/>
        </w:rPr>
        <w:t xml:space="preserve">Job telemetry (optional) — </w:t>
      </w:r>
      <w:r>
        <w:t xml:space="preserve">If the extract/transport job errored or returned no rows (operational status), corroborate the gap.</w:t>
      </w:r>
    </w:p>
    <w:p>
      <w:pPr>
        <w:pStyle w:val="ListParagraph"/>
        <w:numPr>
          <w:ilvl w:val="0"/>
          <w:numId w:val="3"/>
        </w:numPr>
        <w:spacing w:after="70" w:line="264"/>
      </w:pPr>
      <w:r>
        <w:rPr>
          <w:b/>
          <w:bCs/>
        </w:rPr>
        <w:t xml:space="preserve">Otherwise — </w:t>
      </w:r>
      <w:r>
        <w:t xml:space="preserve">If the slot is low, the source itself is low, and agents were not staffed / a known event applies → genuine drop → pass through for WFM to handle.</w:t>
      </w:r>
    </w:p>
    <w:p>
      <w:pPr>
        <w:pStyle w:val="Heading2"/>
      </w:pPr>
      <w:r>
        <w:t xml:space="preserve">4.3 Output and actions</w:t>
      </w:r>
    </w:p>
    <w:p>
      <w:pPr>
        <w:pStyle w:val="ListParagraph"/>
        <w:numPr>
          <w:ilvl w:val="0"/>
          <w:numId w:val="2"/>
        </w:numPr>
        <w:spacing w:after="70" w:line="264"/>
      </w:pPr>
      <w:r>
        <w:rPr>
          <w:b/>
          <w:bCs/>
        </w:rPr>
        <w:t xml:space="preserve">data_health.json — </w:t>
      </w:r>
      <w:r>
        <w:t xml:space="preserve">a per-interval sidecar listing suspect cells with a classification (pipeline-gap vs real) and the evidence that drove it.</w:t>
      </w:r>
    </w:p>
    <w:p>
      <w:pPr>
        <w:pStyle w:val="ListParagraph"/>
        <w:numPr>
          <w:ilvl w:val="0"/>
          <w:numId w:val="2"/>
        </w:numPr>
        <w:spacing w:after="70" w:line="264"/>
      </w:pPr>
      <w:r>
        <w:rPr>
          <w:b/>
          <w:bCs/>
        </w:rPr>
        <w:t xml:space="preserve">Configurable action — </w:t>
      </w:r>
      <w:r>
        <w:t xml:space="preserve">hold the interval and re-request the extract; or backfill (carry-forward / interpolate from baseline) and label it; or emit as-is with an explicit gap annotation so WFM excludes it from learning.</w:t>
      </w:r>
    </w:p>
    <w:p>
      <w:pPr>
        <w:spacing w:after="150" w:line="274"/>
        <w:jc w:val="both"/>
      </w:pPr>
      <w:r>
        <w:rPr>
          <w:b/>
          <w:bCs/>
        </w:rPr>
        <w:t xml:space="preserve">Value line: </w:t>
      </w:r>
      <w:r>
        <w:t xml:space="preserve">WFM cleans business anomalies; this catches pipeline anomalies WFM cannot see — before they poison a forecast.</w:t>
      </w:r>
    </w:p>
    <w:p>
      <w:r>
        <w:br w:type="page"/>
      </w:r>
    </w:p>
    <w:p>
      <w:pPr>
        <w:pStyle w:val="Heading1"/>
      </w:pPr>
      <w:r>
        <w:t xml:space="preserve">5. Feature B — Queue Identity Resolution</w:t>
      </w:r>
    </w:p>
    <w:p>
      <w:pPr>
        <w:spacing w:after="150" w:line="274"/>
        <w:jc w:val="both"/>
      </w:pPr>
      <w:r>
        <w:t xml:space="preserve">Goal: when an ACD renumbers a queue (e.g. split 44 becomes 47), detect that the new key is the same logical queue and stitch the history, so WFM sees one continuous queue instead of one dying and another being born.</w:t>
      </w:r>
    </w:p>
    <w:p>
      <w:pPr>
        <w:pStyle w:val="Heading2"/>
      </w:pPr>
      <w:r>
        <w:t xml:space="preserve">5.1 The fingerprint</w:t>
      </w:r>
    </w:p>
    <w:p>
      <w:pPr>
        <w:spacing w:after="150" w:line="274"/>
        <w:jc w:val="both"/>
      </w:pPr>
      <w:r>
        <w:t xml:space="preserve">Each canonical queue carries a behavioural fingerprint, built from data the engine already produces:</w:t>
      </w:r>
    </w:p>
    <w:p>
      <w:pPr>
        <w:pStyle w:val="ListParagraph"/>
        <w:numPr>
          <w:ilvl w:val="0"/>
          <w:numId w:val="2"/>
        </w:numPr>
        <w:spacing w:after="70" w:line="264"/>
      </w:pPr>
      <w:r>
        <w:rPr>
          <w:b/>
          <w:bCs/>
        </w:rPr>
        <w:t xml:space="preserve">Volume &amp; pattern — </w:t>
      </w:r>
      <w:r>
        <w:t xml:space="preserve">the volume-by-time-slot curve and typical AHT (behavioural shape).</w:t>
      </w:r>
    </w:p>
    <w:p>
      <w:pPr>
        <w:pStyle w:val="ListParagraph"/>
        <w:numPr>
          <w:ilvl w:val="0"/>
          <w:numId w:val="2"/>
        </w:numPr>
        <w:spacing w:after="70" w:line="264"/>
      </w:pPr>
      <w:r>
        <w:rPr>
          <w:b/>
          <w:bCs/>
        </w:rPr>
        <w:t xml:space="preserve">Operating hours — </w:t>
      </w:r>
      <w:r>
        <w:t xml:space="preserve">the historical hours the queue is active.</w:t>
      </w:r>
    </w:p>
    <w:p>
      <w:pPr>
        <w:pStyle w:val="ListParagraph"/>
        <w:numPr>
          <w:ilvl w:val="0"/>
          <w:numId w:val="2"/>
        </w:numPr>
        <w:spacing w:after="70" w:line="264"/>
      </w:pPr>
      <w:r>
        <w:rPr>
          <w:b/>
          <w:bCs/>
        </w:rPr>
        <w:t xml:space="preserve">Agent set — </w:t>
      </w:r>
      <w:r>
        <w:t xml:space="preserve">the set of AgentValues that handle it, from the Agent-Queue report — the strongest identity signal, since the same agents rarely move wholesale to a truly new queue.</w:t>
      </w:r>
    </w:p>
    <w:p>
      <w:pPr>
        <w:pStyle w:val="ListParagraph"/>
        <w:numPr>
          <w:ilvl w:val="0"/>
          <w:numId w:val="2"/>
        </w:numPr>
        <w:spacing w:after="70" w:line="264"/>
      </w:pPr>
      <w:r>
        <w:rPr>
          <w:b/>
          <w:bCs/>
        </w:rPr>
        <w:t xml:space="preserve">Metadata — </w:t>
      </w:r>
      <w:r>
        <w:t xml:space="preserve">queue name / description where available.</w:t>
      </w:r>
    </w:p>
    <w:p>
      <w:pPr>
        <w:pStyle w:val="Heading2"/>
      </w:pPr>
      <w:r>
        <w:t xml:space="preserve">5.2 Detection and stitching</w:t>
      </w:r>
    </w:p>
    <w:p>
      <w:pPr>
        <w:pStyle w:val="ListParagraph"/>
        <w:numPr>
          <w:ilvl w:val="0"/>
          <w:numId w:val="4"/>
        </w:numPr>
        <w:spacing w:after="70" w:line="264"/>
      </w:pPr>
      <w:r>
        <w:rPr>
          <w:b/>
          <w:bCs/>
        </w:rPr>
        <w:t xml:space="preserve">Disappearance — </w:t>
      </w:r>
      <w:r>
        <w:t xml:space="preserve">A known vendor key stops appearing (was active, now absent across intervals).</w:t>
      </w:r>
    </w:p>
    <w:p>
      <w:pPr>
        <w:pStyle w:val="ListParagraph"/>
        <w:numPr>
          <w:ilvl w:val="0"/>
          <w:numId w:val="4"/>
        </w:numPr>
        <w:spacing w:after="70" w:line="264"/>
      </w:pPr>
      <w:r>
        <w:rPr>
          <w:b/>
          <w:bCs/>
        </w:rPr>
        <w:t xml:space="preserve">Appearance &amp; match — </w:t>
      </w:r>
      <w:r>
        <w:t xml:space="preserve">A new, unseen vendor key appears whose fingerprint closely matches the disappeared one — especially the same agent set.</w:t>
      </w:r>
    </w:p>
    <w:p>
      <w:pPr>
        <w:pStyle w:val="ListParagraph"/>
        <w:numPr>
          <w:ilvl w:val="0"/>
          <w:numId w:val="4"/>
        </w:numPr>
        <w:spacing w:after="70" w:line="264"/>
      </w:pPr>
      <w:r>
        <w:rPr>
          <w:b/>
          <w:bCs/>
        </w:rPr>
        <w:t xml:space="preserve">Propose — </w:t>
      </w:r>
      <w:r>
        <w:t xml:space="preserve">Propose 'vendor key 44 → 47 is the same logical queue', with confidence and the matching evidence.</w:t>
      </w:r>
    </w:p>
    <w:p>
      <w:pPr>
        <w:pStyle w:val="ListParagraph"/>
        <w:numPr>
          <w:ilvl w:val="0"/>
          <w:numId w:val="4"/>
        </w:numPr>
        <w:spacing w:after="70" w:line="264"/>
      </w:pPr>
      <w:r>
        <w:rPr>
          <w:b/>
          <w:bCs/>
        </w:rPr>
        <w:t xml:space="preserve">Approve &amp; alias — </w:t>
      </w:r>
      <w:r>
        <w:t xml:space="preserve">The expert confirms; the new vendor key is aliased to the SAME canonical QueueValue in the registry/mapping. History continuity is preserved for WFM.</w:t>
      </w:r>
    </w:p>
    <w:p>
      <w:pPr>
        <w:spacing w:after="150" w:line="274"/>
        <w:jc w:val="both"/>
      </w:pPr>
      <w:r>
        <w:rPr>
          <w:b/>
          <w:bCs/>
        </w:rPr>
        <w:t xml:space="preserve">This reuses the existing propose → verify → approve pattern: </w:t>
      </w:r>
      <w:r>
        <w:t xml:space="preserve">AI proposes the merge, the human ratifies it, and the alias becomes part of the approved mapping.</w:t>
      </w:r>
    </w:p>
    <w:p>
      <w:r>
        <w:br w:type="page"/>
      </w:r>
    </w:p>
    <w:p>
      <w:pPr>
        <w:pStyle w:val="Heading1"/>
      </w:pPr>
      <w:r>
        <w:t xml:space="preserve">6. How it integrates with what is already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rPr>
              <w:t xml:space="preserve">Existing component</w:t>
            </w:r>
          </w:p>
        </w:tc>
        <w:tc>
          <w:tcPr>
            <w:tcW w:type="dxa" w:w="624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rPr>
              <w:t xml:space="preserve">Reused for</w:t>
            </w:r>
          </w:p>
        </w:tc>
      </w:tr>
      <w:tr>
        <w:trPr>
          <w:tblHeader w:val="false"/>
        </w:trPr>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Canonical ontology</w:t>
            </w:r>
          </w:p>
        </w:tc>
        <w:tc>
          <w:tcPr>
            <w:tcW w:type="dxa" w:w="624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Both detectors operate on canonical concepts, so they are vendor-neutral by construction.</w:t>
            </w:r>
          </w:p>
        </w:tc>
      </w:tr>
      <w:tr>
        <w:trPr>
          <w:tblHeader w:val="false"/>
        </w:trPr>
        <w:tc>
          <w:tcPr>
            <w:tcW w:type="dxa" w:w="3120"/>
            <w:tcBorders>
              <w:top w:val="single" w:color="BFBFBF" w:sz="1"/>
              <w:left w:val="single" w:color="BFBFBF" w:sz="1"/>
              <w:bottom w:val="single" w:color="BFBFBF" w:sz="1"/>
              <w:right w:val="single" w:color="BFBFBF" w:sz="1"/>
            </w:tcBorders>
            <w:shd w:fill="EAF0FA" w:val="clear"/>
            <w:tcMar>
              <w:top w:type="dxa" w:w="70"/>
              <w:left w:type="dxa" w:w="110"/>
              <w:bottom w:type="dxa" w:w="70"/>
              <w:right w:type="dxa" w:w="110"/>
            </w:tcMar>
          </w:tcPr>
          <w:p>
            <w:r>
              <w:rPr>
                <w:b w:val="false"/>
                <w:bCs w:val="false"/>
              </w:rPr>
              <w:t xml:space="preserve">Engine (canonical records)</w:t>
            </w:r>
          </w:p>
        </w:tc>
        <w:tc>
          <w:tcPr>
            <w:tcW w:type="dxa" w:w="6240"/>
            <w:tcBorders>
              <w:top w:val="single" w:color="BFBFBF" w:sz="1"/>
              <w:left w:val="single" w:color="BFBFBF" w:sz="1"/>
              <w:bottom w:val="single" w:color="BFBFBF" w:sz="1"/>
              <w:right w:val="single" w:color="BFBFBF" w:sz="1"/>
            </w:tcBorders>
            <w:shd w:fill="EAF0FA" w:val="clear"/>
            <w:tcMar>
              <w:top w:type="dxa" w:w="70"/>
              <w:left w:type="dxa" w:w="110"/>
              <w:bottom w:type="dxa" w:w="70"/>
              <w:right w:type="dxa" w:w="110"/>
            </w:tcMar>
          </w:tcPr>
          <w:p>
            <w:r>
              <w:rPr>
                <w:b w:val="false"/>
                <w:bCs w:val="false"/>
              </w:rPr>
              <w:t xml:space="preserve">The Integrity Pass consumes the same records the engine emits before writing XML.</w:t>
            </w:r>
          </w:p>
        </w:tc>
      </w:tr>
      <w:tr>
        <w:trPr>
          <w:tblHeader w:val="false"/>
        </w:trPr>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Three reports (Queue / Agent-Queue / Agent-System)</w:t>
            </w:r>
          </w:p>
        </w:tc>
        <w:tc>
          <w:tcPr>
            <w:tcW w:type="dxa" w:w="624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Cross-report contradiction (A) and agent-set fingerprints (B) come directly from these.</w:t>
            </w:r>
          </w:p>
        </w:tc>
      </w:tr>
      <w:tr>
        <w:trPr>
          <w:tblHeader w:val="false"/>
        </w:trPr>
        <w:tc>
          <w:tcPr>
            <w:tcW w:type="dxa" w:w="3120"/>
            <w:tcBorders>
              <w:top w:val="single" w:color="BFBFBF" w:sz="1"/>
              <w:left w:val="single" w:color="BFBFBF" w:sz="1"/>
              <w:bottom w:val="single" w:color="BFBFBF" w:sz="1"/>
              <w:right w:val="single" w:color="BFBFBF" w:sz="1"/>
            </w:tcBorders>
            <w:shd w:fill="EAF0FA" w:val="clear"/>
            <w:tcMar>
              <w:top w:type="dxa" w:w="70"/>
              <w:left w:type="dxa" w:w="110"/>
              <w:bottom w:type="dxa" w:w="70"/>
              <w:right w:type="dxa" w:w="110"/>
            </w:tcMar>
          </w:tcPr>
          <w:p>
            <w:r>
              <w:rPr>
                <w:b w:val="false"/>
                <w:bCs w:val="false"/>
              </w:rPr>
              <w:t xml:space="preserve">Propose → verify → approve pattern</w:t>
            </w:r>
          </w:p>
        </w:tc>
        <w:tc>
          <w:tcPr>
            <w:tcW w:type="dxa" w:w="6240"/>
            <w:tcBorders>
              <w:top w:val="single" w:color="BFBFBF" w:sz="1"/>
              <w:left w:val="single" w:color="BFBFBF" w:sz="1"/>
              <w:bottom w:val="single" w:color="BFBFBF" w:sz="1"/>
              <w:right w:val="single" w:color="BFBFBF" w:sz="1"/>
            </w:tcBorders>
            <w:shd w:fill="EAF0FA" w:val="clear"/>
            <w:tcMar>
              <w:top w:type="dxa" w:w="70"/>
              <w:left w:type="dxa" w:w="110"/>
              <w:bottom w:type="dxa" w:w="70"/>
              <w:right w:type="dxa" w:w="110"/>
            </w:tcMar>
          </w:tcPr>
          <w:p>
            <w:r>
              <w:rPr>
                <w:b w:val="false"/>
                <w:bCs w:val="false"/>
              </w:rPr>
              <w:t xml:space="preserve">Queue-renumber merges are AI-proposed and human-ratified (B).</w:t>
            </w:r>
          </w:p>
        </w:tc>
      </w:tr>
      <w:tr>
        <w:trPr>
          <w:tblHeader w:val="false"/>
        </w:trPr>
        <w:tc>
          <w:tcPr>
            <w:tcW w:type="dxa" w:w="312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Approved mapping files</w:t>
            </w:r>
          </w:p>
        </w:tc>
        <w:tc>
          <w:tcPr>
            <w:tcW w:type="dxa" w:w="6240"/>
            <w:tcBorders>
              <w:top w:val="single" w:color="BFBFBF" w:sz="1"/>
              <w:left w:val="single" w:color="BFBFBF" w:sz="1"/>
              <w:bottom w:val="single" w:color="BFBFBF" w:sz="1"/>
              <w:right w:val="single" w:color="BFBFBF" w:sz="1"/>
            </w:tcBorders>
            <w:tcMar>
              <w:top w:type="dxa" w:w="70"/>
              <w:left w:type="dxa" w:w="110"/>
              <w:bottom w:type="dxa" w:w="70"/>
              <w:right w:type="dxa" w:w="110"/>
            </w:tcMar>
          </w:tcPr>
          <w:p>
            <w:r>
              <w:rPr>
                <w:b w:val="false"/>
                <w:bCs w:val="false"/>
              </w:rPr>
              <w:t xml:space="preserve">The queue alias from (B) is stored alongside the approved mapping.</w:t>
            </w:r>
          </w:p>
        </w:tc>
      </w:tr>
      <w:tr>
        <w:trPr>
          <w:tblHeader w:val="false"/>
        </w:trPr>
        <w:tc>
          <w:tcPr>
            <w:tcW w:type="dxa" w:w="3120"/>
            <w:tcBorders>
              <w:top w:val="single" w:color="BFBFBF" w:sz="1"/>
              <w:left w:val="single" w:color="BFBFBF" w:sz="1"/>
              <w:bottom w:val="single" w:color="BFBFBF" w:sz="1"/>
              <w:right w:val="single" w:color="BFBFBF" w:sz="1"/>
            </w:tcBorders>
            <w:shd w:fill="EAF0FA" w:val="clear"/>
            <w:tcMar>
              <w:top w:type="dxa" w:w="70"/>
              <w:left w:type="dxa" w:w="110"/>
              <w:bottom w:type="dxa" w:w="70"/>
              <w:right w:type="dxa" w:w="110"/>
            </w:tcMar>
          </w:tcPr>
          <w:p>
            <w:r>
              <w:rPr>
                <w:b w:val="false"/>
                <w:bCs w:val="false"/>
              </w:rPr>
              <w:t xml:space="preserve">Sensor philosophy</w:t>
            </w:r>
          </w:p>
        </w:tc>
        <w:tc>
          <w:tcPr>
            <w:tcW w:type="dxa" w:w="6240"/>
            <w:tcBorders>
              <w:top w:val="single" w:color="BFBFBF" w:sz="1"/>
              <w:left w:val="single" w:color="BFBFBF" w:sz="1"/>
              <w:bottom w:val="single" w:color="BFBFBF" w:sz="1"/>
              <w:right w:val="single" w:color="BFBFBF" w:sz="1"/>
            </w:tcBorders>
            <w:shd w:fill="EAF0FA" w:val="clear"/>
            <w:tcMar>
              <w:top w:type="dxa" w:w="70"/>
              <w:left w:type="dxa" w:w="110"/>
              <w:bottom w:type="dxa" w:w="70"/>
              <w:right w:type="dxa" w:w="110"/>
            </w:tcMar>
          </w:tcPr>
          <w:p>
            <w:r>
              <w:rPr>
                <w:b w:val="false"/>
                <w:bCs w:val="false"/>
              </w:rPr>
              <w:t xml:space="preserve">Same 'watch for drift' idea, now applied to live data instead of code.</w:t>
            </w:r>
          </w:p>
        </w:tc>
      </w:tr>
    </w:tbl>
    <w:p>
      <w:pPr>
        <w:pStyle w:val="Heading2"/>
      </w:pPr>
      <w:r>
        <w:t xml:space="preserve">6.1 New artefacts</w:t>
      </w:r>
    </w:p>
    <w:p>
      <w:pPr>
        <w:pStyle w:val="ListParagraph"/>
        <w:numPr>
          <w:ilvl w:val="0"/>
          <w:numId w:val="2"/>
        </w:numPr>
        <w:spacing w:after="70" w:line="264"/>
      </w:pPr>
      <w:r>
        <w:rPr>
          <w:b/>
          <w:bCs/>
        </w:rPr>
        <w:t xml:space="preserve">state/history/ — </w:t>
      </w:r>
      <w:r>
        <w:t xml:space="preserve">a per-customer rolling store of canonical records (~30 days).</w:t>
      </w:r>
    </w:p>
    <w:p>
      <w:pPr>
        <w:pStyle w:val="ListParagraph"/>
        <w:numPr>
          <w:ilvl w:val="0"/>
          <w:numId w:val="2"/>
        </w:numPr>
        <w:spacing w:after="70" w:line="264"/>
      </w:pPr>
      <w:r>
        <w:rPr>
          <w:b/>
          <w:bCs/>
        </w:rPr>
        <w:t xml:space="preserve">state/baselines/ — </w:t>
      </w:r>
      <w:r>
        <w:t xml:space="preserve">derived expected profiles per queue/slot.</w:t>
      </w:r>
    </w:p>
    <w:p>
      <w:pPr>
        <w:pStyle w:val="ListParagraph"/>
        <w:numPr>
          <w:ilvl w:val="0"/>
          <w:numId w:val="2"/>
        </w:numPr>
        <w:spacing w:after="70" w:line="264"/>
      </w:pPr>
      <w:r>
        <w:rPr>
          <w:b/>
          <w:bCs/>
        </w:rPr>
        <w:t xml:space="preserve">state/queue_registry/ — </w:t>
      </w:r>
      <w:r>
        <w:t xml:space="preserve">canonical queue identities, fingerprints and vendor-key aliases.</w:t>
      </w:r>
    </w:p>
    <w:p>
      <w:pPr>
        <w:pStyle w:val="ListParagraph"/>
        <w:numPr>
          <w:ilvl w:val="0"/>
          <w:numId w:val="2"/>
        </w:numPr>
        <w:spacing w:after="70" w:line="264"/>
      </w:pPr>
      <w:r>
        <w:rPr>
          <w:b/>
          <w:bCs/>
        </w:rPr>
        <w:t xml:space="preserve">integrity/ — </w:t>
      </w:r>
      <w:r>
        <w:t xml:space="preserve">the Integrity Pass module (completeness + identity) that runs between transform and file write.</w:t>
      </w:r>
    </w:p>
    <w:p>
      <w:pPr>
        <w:pStyle w:val="Heading1"/>
      </w:pPr>
      <w:r>
        <w:t xml:space="preserve">7. Data model &amp; retention</w:t>
      </w:r>
    </w:p>
    <w:p>
      <w:pPr>
        <w:spacing w:after="150" w:line="274"/>
        <w:jc w:val="both"/>
      </w:pPr>
      <w:r>
        <w:t xml:space="preserve">Only canonical records are stored — small numeric interval summaries, not raw vendor payloads or PII. A 30-day window is enough to build weekday/time-of-day baselines and to observe a queue disappear/appear. Retention, storage location and per-customer isolation follow the same controls as the existing pipeline.</w:t>
      </w:r>
    </w:p>
    <w:p>
      <w:pPr>
        <w:pStyle w:val="Heading1"/>
      </w:pPr>
      <w:r>
        <w:t xml:space="preserve">8. Phasing</w:t>
      </w:r>
    </w:p>
    <w:p>
      <w:pPr>
        <w:pStyle w:val="Heading2"/>
      </w:pPr>
      <w:r>
        <w:t xml:space="preserve">8.1 Hackathon slice (demoable)</w:t>
      </w:r>
    </w:p>
    <w:p>
      <w:pPr>
        <w:pStyle w:val="ListParagraph"/>
        <w:numPr>
          <w:ilvl w:val="0"/>
          <w:numId w:val="2"/>
        </w:numPr>
        <w:spacing w:after="70" w:line="264"/>
      </w:pPr>
      <w:r>
        <w:rPr>
          <w:b/>
          <w:bCs/>
        </w:rPr>
        <w:t xml:space="preserve">Feature A — </w:t>
      </w:r>
      <w:r>
        <w:t xml:space="preserve">feed two consecutive intervals. Show Agent-System with staffed agents but an empty Queue → flagged 'pipeline gap, not a real drop'.</w:t>
      </w:r>
    </w:p>
    <w:p>
      <w:pPr>
        <w:pStyle w:val="ListParagraph"/>
        <w:numPr>
          <w:ilvl w:val="0"/>
          <w:numId w:val="2"/>
        </w:numPr>
        <w:spacing w:after="70" w:line="264"/>
      </w:pPr>
      <w:r>
        <w:rPr>
          <w:b/>
          <w:bCs/>
        </w:rPr>
        <w:t xml:space="preserve">Feature B — </w:t>
      </w:r>
      <w:r>
        <w:t xml:space="preserve">show split 44 disappearing and 47 appearing with the same agent set → auto-proposed merge into one continuous queue.</w:t>
      </w:r>
    </w:p>
    <w:p>
      <w:pPr>
        <w:spacing w:after="150" w:line="274"/>
        <w:jc w:val="both"/>
      </w:pPr>
      <w:r>
        <w:t xml:space="preserve">Both are visual, need only a tiny history, and land the story instantly.</w:t>
      </w:r>
    </w:p>
    <w:p>
      <w:pPr>
        <w:pStyle w:val="Heading2"/>
      </w:pPr>
      <w:r>
        <w:t xml:space="preserve">8.2 Production</w:t>
      </w:r>
    </w:p>
    <w:p>
      <w:pPr>
        <w:pStyle w:val="ListParagraph"/>
        <w:numPr>
          <w:ilvl w:val="0"/>
          <w:numId w:val="2"/>
        </w:numPr>
        <w:spacing w:after="70" w:line="264"/>
      </w:pPr>
      <w:r>
        <w:t xml:space="preserve">persist the History Store per customer; build baselines over a few weeks.</w:t>
      </w:r>
    </w:p>
    <w:p>
      <w:pPr>
        <w:pStyle w:val="ListParagraph"/>
        <w:numPr>
          <w:ilvl w:val="0"/>
          <w:numId w:val="2"/>
        </w:numPr>
        <w:spacing w:after="70" w:line="264"/>
      </w:pPr>
      <w:r>
        <w:t xml:space="preserve">add backfill / re-request actions and extract-job telemetry for Feature A.</w:t>
      </w:r>
    </w:p>
    <w:p>
      <w:pPr>
        <w:pStyle w:val="ListParagraph"/>
        <w:numPr>
          <w:ilvl w:val="0"/>
          <w:numId w:val="2"/>
        </w:numPr>
        <w:spacing w:after="70" w:line="264"/>
      </w:pPr>
      <w:r>
        <w:t xml:space="preserve">add a lightweight approval step (UI or ticket) for Feature B merges.</w:t>
      </w:r>
    </w:p>
    <w:p>
      <w:pPr>
        <w:pStyle w:val="Heading1"/>
      </w:pPr>
      <w:r>
        <w:t xml:space="preserve">9. Limitations &amp; decisions for you</w:t>
      </w:r>
    </w:p>
    <w:p>
      <w:pPr>
        <w:pStyle w:val="ListParagraph"/>
        <w:numPr>
          <w:ilvl w:val="0"/>
          <w:numId w:val="2"/>
        </w:numPr>
        <w:spacing w:after="70" w:line="264"/>
      </w:pPr>
      <w:r>
        <w:rPr>
          <w:b/>
          <w:bCs/>
        </w:rPr>
        <w:t xml:space="preserve">Stateful — </w:t>
      </w:r>
      <w:r>
        <w:t xml:space="preserve">the layer becomes stateful — it needs a per-customer history store, unlike today's stateless transform.</w:t>
      </w:r>
    </w:p>
    <w:p>
      <w:pPr>
        <w:pStyle w:val="ListParagraph"/>
        <w:numPr>
          <w:ilvl w:val="0"/>
          <w:numId w:val="2"/>
        </w:numPr>
        <w:spacing w:after="70" w:line="264"/>
      </w:pPr>
      <w:r>
        <w:rPr>
          <w:b/>
          <w:bCs/>
        </w:rPr>
        <w:t xml:space="preserve">Cold start — </w:t>
      </w:r>
      <w:r>
        <w:t xml:space="preserve">baselines need a few weeks of history before they are trustworthy; the cross-report signal, however, works from day one and carries most of Feature A.</w:t>
      </w:r>
    </w:p>
    <w:p>
      <w:pPr>
        <w:pStyle w:val="ListParagraph"/>
        <w:numPr>
          <w:ilvl w:val="0"/>
          <w:numId w:val="2"/>
        </w:numPr>
        <w:spacing w:after="70" w:line="264"/>
      </w:pPr>
      <w:r>
        <w:rPr>
          <w:b/>
          <w:bCs/>
        </w:rPr>
        <w:t xml:space="preserve">Signal coverage — </w:t>
      </w:r>
      <w:r>
        <w:t xml:space="preserve">the cross-report contradiction only works when both the Queue and Agent-System feeds are present; if the whole feed is missing, the whole-feed and job-telemetry signals cover it instead.</w:t>
      </w:r>
    </w:p>
    <w:p>
      <w:pPr>
        <w:pStyle w:val="ListParagraph"/>
        <w:numPr>
          <w:ilvl w:val="0"/>
          <w:numId w:val="2"/>
        </w:numPr>
        <w:spacing w:after="70" w:line="264"/>
      </w:pPr>
      <w:r>
        <w:rPr>
          <w:b/>
          <w:bCs/>
        </w:rPr>
        <w:t xml:space="preserve">Open decisions — </w:t>
      </w:r>
      <w:r>
        <w:t xml:space="preserve">how aggressive should Feature A be — hold-and-alert, or auto-backfill? And should Feature B merges auto-apply above a confidence threshold, or always require sign-off? These are the two calls to make before build.</w:t>
      </w:r>
    </w:p>
    <w:p>
      <w:pPr>
        <w:pBdr>
          <w:bottom w:val="single" w:color="2E75B6" w:sz="6" w:space="1"/>
        </w:pBdr>
        <w:spacing w:after="120" w:before="120"/>
      </w:pPr>
      <w:r>
        <w:t xml:space="preserve"/>
      </w:r>
    </w:p>
    <w:p>
      <w:pPr>
        <w:jc w:val="center"/>
      </w:pPr>
      <w:r>
        <w:rPr>
          <w:i/>
          <w:iCs/>
          <w:color w:val="2E75B6"/>
          <w:sz w:val="22"/>
          <w:szCs w:val="22"/>
        </w:rPr>
        <w:t xml:space="preserve">The Integrity Layer: guaranteeing WFM gets data it can trust — not just data that is validly shaped.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tabs>
        <w:tab w:val="right" w:pos="9026"/>
      </w:tabs>
    </w:pPr>
    <w:r>
      <w:rPr>
        <w:color w:val="595959"/>
        <w:sz w:val="16"/>
        <w:szCs w:val="16"/>
      </w:rPr>
      <w:t xml:space="preserve">Sparkathon 2026 · Confidential — Internal</w:t>
    </w:r>
    <w:r>
      <w:rPr>
        <w:color w:val="595959"/>
        <w:sz w:val="16"/>
        <w:szCs w:val="16"/>
      </w:rPr>
      <w:t xml:space="preserve">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595959"/>
        <w:sz w:val="16"/>
        <w:szCs w:val="16"/>
      </w:rPr>
      <w:t xml:space="preserve">Lexicon Integrity Layer —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00"/>
      </w:pPr>
    </w:lvl>
  </w:abstractNum>
  <w:abstractNum w:abstractNumId="4" w15:restartNumberingAfterBreak="0">
    <w:multiLevelType w:val="hybridMultilevel"/>
    <w:lvl w:ilvl="0" w15:tentative="1">
      <w:start w:val="1"/>
      <w:numFmt w:val="decimal"/>
      <w:lvlText w:val="%1."/>
      <w:lvlJc w:val="left"/>
      <w:pPr>
        <w:ind w:left="620" w:hanging="300"/>
      </w:pPr>
    </w:lvl>
  </w:abstractNum>
  <w:abstractNum w:abstractNumId="5"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5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90" w:before="19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Lexicon Integrity Layer — Design</dc:title>
  <dc:creator>Swapnil Zade</dc:creator>
  <cp:lastModifiedBy>Un-named</cp:lastModifiedBy>
  <cp:revision>1</cp:revision>
  <dcterms:created xsi:type="dcterms:W3CDTF">2026-07-16T04:11:41.611Z</dcterms:created>
  <dcterms:modified xsi:type="dcterms:W3CDTF">2026-07-16T04:11:41.619Z</dcterms:modified>
</cp:coreProperties>
</file>

<file path=docProps/custom.xml><?xml version="1.0" encoding="utf-8"?>
<Properties xmlns="http://schemas.openxmlformats.org/officeDocument/2006/custom-properties" xmlns:vt="http://schemas.openxmlformats.org/officeDocument/2006/docPropsVTypes"/>
</file>