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A91414" w14:textId="77777777" w:rsidR="00A233A1" w:rsidRDefault="00A233A1">
      <w:pPr>
        <w:spacing w:before="2400"/>
      </w:pPr>
    </w:p>
    <w:p w14:paraId="2AA91415" w14:textId="77777777" w:rsidR="00A233A1" w:rsidRDefault="0008082D">
      <w:pPr>
        <w:spacing w:after="80"/>
        <w:jc w:val="center"/>
      </w:pPr>
      <w:r>
        <w:rPr>
          <w:b/>
          <w:bCs/>
          <w:color w:val="2E75B6"/>
          <w:spacing w:val="40"/>
        </w:rPr>
        <w:t>SPARKATHON 2026  ·  NICE</w:t>
      </w:r>
    </w:p>
    <w:p w14:paraId="2AA91416" w14:textId="77777777" w:rsidR="00A233A1" w:rsidRDefault="0008082D">
      <w:pPr>
        <w:spacing w:after="80"/>
        <w:jc w:val="center"/>
      </w:pPr>
      <w:r>
        <w:rPr>
          <w:b/>
          <w:bCs/>
          <w:color w:val="1F3864"/>
          <w:sz w:val="76"/>
          <w:szCs w:val="76"/>
        </w:rPr>
        <w:t>LEXICON</w:t>
      </w:r>
    </w:p>
    <w:p w14:paraId="2AA91417" w14:textId="77777777" w:rsidR="00A233A1" w:rsidRDefault="0008082D">
      <w:pPr>
        <w:spacing w:after="200"/>
        <w:jc w:val="center"/>
      </w:pPr>
      <w:r>
        <w:rPr>
          <w:b/>
          <w:bCs/>
          <w:i/>
          <w:iCs/>
          <w:color w:val="C55A11"/>
          <w:sz w:val="30"/>
          <w:szCs w:val="30"/>
        </w:rPr>
        <w:t>A Domain Context Harness for LLMs</w:t>
      </w:r>
    </w:p>
    <w:p w14:paraId="2AA91418" w14:textId="77777777" w:rsidR="00A233A1" w:rsidRDefault="0008082D" w:rsidP="00DE3430">
      <w:pPr>
        <w:pBdr>
          <w:top w:val="single" w:sz="6" w:space="6" w:color="2E75B6"/>
          <w:bottom w:val="single" w:sz="6" w:space="1" w:color="2E75B6"/>
        </w:pBdr>
        <w:spacing w:after="60"/>
        <w:jc w:val="center"/>
      </w:pPr>
      <w:r>
        <w:rPr>
          <w:i/>
          <w:iCs/>
          <w:color w:val="595959"/>
          <w:sz w:val="24"/>
          <w:szCs w:val="24"/>
        </w:rPr>
        <w:t>Teach the agent your domain’s language — then make it enforceable.</w:t>
      </w:r>
    </w:p>
    <w:p w14:paraId="2AA91419" w14:textId="77777777" w:rsidR="00A233A1" w:rsidRDefault="0008082D">
      <w:pPr>
        <w:spacing w:before="2200" w:after="40"/>
        <w:jc w:val="center"/>
      </w:pPr>
      <w:r>
        <w:rPr>
          <w:color w:val="595959"/>
        </w:rPr>
        <w:t>Author: Swapnil Zade</w:t>
      </w:r>
    </w:p>
    <w:p w14:paraId="2AA9141A" w14:textId="77777777" w:rsidR="00A233A1" w:rsidRDefault="0008082D">
      <w:pPr>
        <w:spacing w:after="40"/>
        <w:jc w:val="center"/>
      </w:pPr>
      <w:r>
        <w:rPr>
          <w:color w:val="595959"/>
        </w:rPr>
        <w:t>Domain: Workforce Management  ·  ACD Integration</w:t>
      </w:r>
    </w:p>
    <w:p w14:paraId="2AA9141C" w14:textId="77777777" w:rsidR="00A233A1" w:rsidRDefault="0008082D">
      <w:r>
        <w:br w:type="page"/>
      </w:r>
    </w:p>
    <w:p w14:paraId="2AA91421" w14:textId="77777777" w:rsidR="00A233A1" w:rsidRDefault="0008082D">
      <w:pPr>
        <w:pStyle w:val="Heading1"/>
      </w:pPr>
      <w:r>
        <w:lastRenderedPageBreak/>
        <w:t>Executive Summary</w:t>
      </w:r>
    </w:p>
    <w:p w14:paraId="2AA91422" w14:textId="77777777" w:rsidR="00A233A1" w:rsidRDefault="0008082D">
      <w:pPr>
        <w:spacing w:after="160" w:line="276" w:lineRule="auto"/>
        <w:jc w:val="both"/>
      </w:pPr>
      <w:r>
        <w:t>Coding agents are now capable enough to write real integration code. Yet on genuine enterprise codebases they fail in a specific, expensive way: they pattern-match on names. When two systems use the same word for different concepts — or different words for the same concept — the agent confidently produces wiring that compiles, passes a shallow review, and is quietly wrong.</w:t>
      </w:r>
    </w:p>
    <w:p w14:paraId="2AA91423" w14:textId="77777777" w:rsidR="00A233A1" w:rsidRDefault="0008082D">
      <w:pPr>
        <w:spacing w:after="160" w:line="276" w:lineRule="auto"/>
        <w:jc w:val="both"/>
      </w:pPr>
      <w:r>
        <w:t>Nowhere is this sharper than multi-vendor ACD integration. Genesys, Avaya, Cisco, NICE, Five9 and Amazon Connect each have their own dialect for overlapping Workforce Management concepts: skill, split, gate, VDN, CSQ; occupancy versus utilization; RONA; adherence versus conformance. An agent asked to “wire up vendor X’s adherence feed” has no way to know these are the same concept in different clothes — unless someone makes that meaning explicit and checkable.</w:t>
      </w:r>
    </w:p>
    <w:p w14:paraId="2AA91426" w14:textId="3EEE70D5" w:rsidR="00A233A1" w:rsidRDefault="0008082D" w:rsidP="0036562E">
      <w:pPr>
        <w:spacing w:after="160" w:line="276" w:lineRule="auto"/>
        <w:jc w:val="both"/>
      </w:pPr>
      <w:r>
        <w:rPr>
          <w:b/>
          <w:bCs/>
        </w:rPr>
        <w:t xml:space="preserve">Lexicon is a Domain Context Harness: it turns our domain’s conceptual model — its ubiquitous language — into a first-class, executable harness that steers any LLM to code in the correct, vendor-neutral vocabulary. </w:t>
      </w:r>
      <w:r>
        <w:t>It combines an inferential guide (a machine-readable glossary the agent reads before it writes), a computational guide (a schema and contract tests with golden vendor payloads that enforce the vocabulary), and a Ubiquitous Language Sensor that catches vocabulary drift in every pull request.</w:t>
      </w:r>
      <w:r>
        <w:br w:type="page"/>
      </w:r>
    </w:p>
    <w:p w14:paraId="2AA91427" w14:textId="77777777" w:rsidR="00A233A1" w:rsidRDefault="0008082D">
      <w:pPr>
        <w:pStyle w:val="Heading1"/>
      </w:pPr>
      <w:r>
        <w:lastRenderedPageBreak/>
        <w:t>1. Harness, Context, and Ubiquity in AI</w:t>
      </w:r>
    </w:p>
    <w:p w14:paraId="2AA91428" w14:textId="77777777" w:rsidR="00A233A1" w:rsidRDefault="0008082D">
      <w:pPr>
        <w:spacing w:after="160" w:line="276" w:lineRule="auto"/>
        <w:jc w:val="both"/>
      </w:pPr>
      <w:r>
        <w:t>Three ideas from current AI engineering practice underpin this proposal. Defining them precisely matters, because the whole idea is that these three have a domain dimension almost everyone is currently ignoring.</w:t>
      </w:r>
    </w:p>
    <w:p w14:paraId="2AA91429" w14:textId="77777777" w:rsidR="00A233A1" w:rsidRDefault="0008082D">
      <w:pPr>
        <w:pStyle w:val="Heading2"/>
      </w:pPr>
      <w:r>
        <w:t>1.1 The Harness (harness engineering)</w:t>
      </w:r>
    </w:p>
    <w:p w14:paraId="2AA9142A" w14:textId="7116665C" w:rsidR="00A233A1" w:rsidRDefault="0008082D">
      <w:pPr>
        <w:spacing w:after="160" w:line="276" w:lineRule="auto"/>
        <w:jc w:val="both"/>
      </w:pPr>
      <w:r>
        <w:t>A raw LLM is text-in, text-out. The harness is everything we build around it to steer it toward correct behaviour. A harness is built from two kinds of component:</w:t>
      </w:r>
    </w:p>
    <w:p w14:paraId="2AA9142B" w14:textId="77777777" w:rsidR="00A233A1" w:rsidRDefault="0008082D">
      <w:pPr>
        <w:pStyle w:val="ListParagraph"/>
        <w:numPr>
          <w:ilvl w:val="0"/>
          <w:numId w:val="2"/>
        </w:numPr>
        <w:spacing w:after="80" w:line="264" w:lineRule="auto"/>
      </w:pPr>
      <w:r>
        <w:rPr>
          <w:b/>
          <w:bCs/>
        </w:rPr>
        <w:t xml:space="preserve">Guides (feedforward) — </w:t>
      </w:r>
      <w:r>
        <w:t>that steer the agent before it acts — they shape what it does.</w:t>
      </w:r>
    </w:p>
    <w:p w14:paraId="2AA9142C" w14:textId="77777777" w:rsidR="00A233A1" w:rsidRDefault="0008082D">
      <w:pPr>
        <w:pStyle w:val="ListParagraph"/>
        <w:numPr>
          <w:ilvl w:val="0"/>
          <w:numId w:val="2"/>
        </w:numPr>
        <w:spacing w:after="80" w:line="264" w:lineRule="auto"/>
      </w:pPr>
      <w:r>
        <w:rPr>
          <w:b/>
          <w:bCs/>
        </w:rPr>
        <w:t xml:space="preserve">Sensors (feedback) — </w:t>
      </w:r>
      <w:r>
        <w:t>that check the agent after it acts — they catch what went wrong.</w:t>
      </w:r>
    </w:p>
    <w:p w14:paraId="2AA9142D" w14:textId="77777777" w:rsidR="00A233A1" w:rsidRDefault="0008082D">
      <w:pPr>
        <w:spacing w:after="160" w:line="276" w:lineRule="auto"/>
        <w:jc w:val="both"/>
      </w:pPr>
      <w:r>
        <w:t>Each of these comes in two flavours, and this distinction is central to Lexicon:</w:t>
      </w:r>
    </w:p>
    <w:p w14:paraId="2AA9142E" w14:textId="77777777" w:rsidR="00A233A1" w:rsidRDefault="0008082D">
      <w:pPr>
        <w:pStyle w:val="ListParagraph"/>
        <w:numPr>
          <w:ilvl w:val="0"/>
          <w:numId w:val="2"/>
        </w:numPr>
        <w:spacing w:after="80" w:line="264" w:lineRule="auto"/>
      </w:pPr>
      <w:r>
        <w:rPr>
          <w:b/>
          <w:bCs/>
        </w:rPr>
        <w:t xml:space="preserve">Computational — </w:t>
      </w:r>
      <w:r>
        <w:t>deterministic and machine-checked — linters, type checkers, schemas, contract tests. They cannot be argued with.</w:t>
      </w:r>
    </w:p>
    <w:p w14:paraId="2AA9142F" w14:textId="77777777" w:rsidR="00A233A1" w:rsidRDefault="0008082D">
      <w:pPr>
        <w:pStyle w:val="ListParagraph"/>
        <w:numPr>
          <w:ilvl w:val="0"/>
          <w:numId w:val="2"/>
        </w:numPr>
        <w:spacing w:after="80" w:line="264" w:lineRule="auto"/>
      </w:pPr>
      <w:r>
        <w:rPr>
          <w:b/>
          <w:bCs/>
        </w:rPr>
        <w:t xml:space="preserve">Inferential (the Markdown files) — </w:t>
      </w:r>
      <w:r>
        <w:t>interpreted by the LLM itself — typically Markdown skill or glossary files the agent reads. Flexible, but only as reliable as the model’s reading of them.</w:t>
      </w:r>
    </w:p>
    <w:p w14:paraId="2AA91430" w14:textId="77777777" w:rsidR="00A233A1" w:rsidRDefault="0008082D">
      <w:pPr>
        <w:spacing w:after="160" w:line="276" w:lineRule="auto"/>
        <w:jc w:val="both"/>
      </w:pPr>
      <w:r>
        <w:t>Almost all harness work in the industry today is domain-agnostic — it enforces code quality (does it type-check, does it lint), not domain meaning (does “utilization” here mean what we call “occupancy”). That gap is the opportunity.</w:t>
      </w:r>
    </w:p>
    <w:p w14:paraId="2AA91431" w14:textId="77777777" w:rsidR="00A233A1" w:rsidRDefault="0008082D">
      <w:pPr>
        <w:pStyle w:val="Heading2"/>
      </w:pPr>
      <w:r>
        <w:t>1.2 Context (the conceptual model, made from vocabulary)</w:t>
      </w:r>
    </w:p>
    <w:p w14:paraId="2AA91432" w14:textId="77777777" w:rsidR="00A233A1" w:rsidRDefault="0008082D">
      <w:pPr>
        <w:spacing w:after="160" w:line="276" w:lineRule="auto"/>
        <w:jc w:val="both"/>
      </w:pPr>
      <w:r>
        <w:t>Context is what the model can see when it reasons — but not all context is equal. There are three layers, in ascending order of leverage: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360"/>
        <w:gridCol w:w="2500"/>
      </w:tblGrid>
      <w:tr w:rsidR="00A233A1" w14:paraId="2AA91436" w14:textId="77777777">
        <w:trPr>
          <w:tblHeader/>
        </w:trPr>
        <w:tc>
          <w:tcPr>
            <w:tcW w:w="2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2AA91433" w14:textId="77777777" w:rsidR="00A233A1" w:rsidRDefault="0008082D">
            <w:r>
              <w:rPr>
                <w:b/>
                <w:bCs/>
                <w:color w:val="FFFFFF"/>
              </w:rPr>
              <w:t>Context layer</w:t>
            </w:r>
          </w:p>
        </w:tc>
        <w:tc>
          <w:tcPr>
            <w:tcW w:w="43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2AA91434" w14:textId="77777777" w:rsidR="00A233A1" w:rsidRDefault="0008082D">
            <w:r>
              <w:rPr>
                <w:b/>
                <w:bCs/>
                <w:color w:val="FFFFFF"/>
              </w:rPr>
              <w:t>What it is</w:t>
            </w:r>
          </w:p>
        </w:tc>
        <w:tc>
          <w:tcPr>
            <w:tcW w:w="2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2AA91435" w14:textId="77777777" w:rsidR="00A233A1" w:rsidRDefault="0008082D">
            <w:r>
              <w:rPr>
                <w:b/>
                <w:bCs/>
                <w:color w:val="FFFFFF"/>
              </w:rPr>
              <w:t>Reliability for steering</w:t>
            </w:r>
          </w:p>
        </w:tc>
      </w:tr>
      <w:tr w:rsidR="00A233A1" w14:paraId="2AA9143A" w14:textId="77777777">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AA91437" w14:textId="77777777" w:rsidR="00A233A1" w:rsidRDefault="0008082D">
            <w:r>
              <w:t>Instructions</w:t>
            </w:r>
          </w:p>
        </w:tc>
        <w:tc>
          <w:tcPr>
            <w:tcW w:w="4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AA91438" w14:textId="77777777" w:rsidR="00A233A1" w:rsidRDefault="0008082D">
            <w:r>
              <w:t>Prompts and specs piled on the agent</w:t>
            </w:r>
          </w:p>
        </w:tc>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AA91439" w14:textId="77777777" w:rsidR="00A233A1" w:rsidRDefault="0008082D">
            <w:r>
              <w:t>Low — easy to add, easy to ignore</w:t>
            </w:r>
          </w:p>
        </w:tc>
      </w:tr>
      <w:tr w:rsidR="00A233A1" w14:paraId="2AA9143E" w14:textId="77777777">
        <w:tc>
          <w:tcPr>
            <w:tcW w:w="2500" w:type="dxa"/>
            <w:tcBorders>
              <w:top w:val="single" w:sz="1" w:space="0" w:color="BFBFBF"/>
              <w:left w:val="single" w:sz="1" w:space="0" w:color="BFBFBF"/>
              <w:bottom w:val="single" w:sz="1" w:space="0" w:color="BFBFBF"/>
              <w:right w:val="single" w:sz="1" w:space="0" w:color="BFBFBF"/>
            </w:tcBorders>
            <w:shd w:val="clear" w:color="auto" w:fill="EAF0FA"/>
            <w:tcMar>
              <w:top w:w="80" w:type="dxa"/>
              <w:left w:w="120" w:type="dxa"/>
              <w:bottom w:w="80" w:type="dxa"/>
              <w:right w:w="120" w:type="dxa"/>
            </w:tcMar>
          </w:tcPr>
          <w:p w14:paraId="2AA9143B" w14:textId="77777777" w:rsidR="00A233A1" w:rsidRDefault="0008082D">
            <w:r>
              <w:t>Retrieved docs (RAG)</w:t>
            </w:r>
          </w:p>
        </w:tc>
        <w:tc>
          <w:tcPr>
            <w:tcW w:w="4360" w:type="dxa"/>
            <w:tcBorders>
              <w:top w:val="single" w:sz="1" w:space="0" w:color="BFBFBF"/>
              <w:left w:val="single" w:sz="1" w:space="0" w:color="BFBFBF"/>
              <w:bottom w:val="single" w:sz="1" w:space="0" w:color="BFBFBF"/>
              <w:right w:val="single" w:sz="1" w:space="0" w:color="BFBFBF"/>
            </w:tcBorders>
            <w:shd w:val="clear" w:color="auto" w:fill="EAF0FA"/>
            <w:tcMar>
              <w:top w:w="80" w:type="dxa"/>
              <w:left w:w="120" w:type="dxa"/>
              <w:bottom w:w="80" w:type="dxa"/>
              <w:right w:w="120" w:type="dxa"/>
            </w:tcMar>
          </w:tcPr>
          <w:p w14:paraId="2AA9143C" w14:textId="77777777" w:rsidR="00A233A1" w:rsidRDefault="0008082D">
            <w:r>
              <w:t>Reference material fetched at query time</w:t>
            </w:r>
          </w:p>
        </w:tc>
        <w:tc>
          <w:tcPr>
            <w:tcW w:w="2500" w:type="dxa"/>
            <w:tcBorders>
              <w:top w:val="single" w:sz="1" w:space="0" w:color="BFBFBF"/>
              <w:left w:val="single" w:sz="1" w:space="0" w:color="BFBFBF"/>
              <w:bottom w:val="single" w:sz="1" w:space="0" w:color="BFBFBF"/>
              <w:right w:val="single" w:sz="1" w:space="0" w:color="BFBFBF"/>
            </w:tcBorders>
            <w:shd w:val="clear" w:color="auto" w:fill="EAF0FA"/>
            <w:tcMar>
              <w:top w:w="80" w:type="dxa"/>
              <w:left w:w="120" w:type="dxa"/>
              <w:bottom w:w="80" w:type="dxa"/>
              <w:right w:w="120" w:type="dxa"/>
            </w:tcMar>
          </w:tcPr>
          <w:p w14:paraId="2AA9143D" w14:textId="77777777" w:rsidR="00A233A1" w:rsidRDefault="0008082D">
            <w:r>
              <w:t>Medium — reference, not understanding</w:t>
            </w:r>
          </w:p>
        </w:tc>
      </w:tr>
      <w:tr w:rsidR="00A233A1" w14:paraId="2AA91442" w14:textId="77777777">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AA9143F" w14:textId="77777777" w:rsidR="00A233A1" w:rsidRDefault="0008082D">
            <w:r>
              <w:t>Conceptual model</w:t>
            </w:r>
          </w:p>
        </w:tc>
        <w:tc>
          <w:tcPr>
            <w:tcW w:w="4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AA91440" w14:textId="77777777" w:rsidR="00A233A1" w:rsidRDefault="0008082D">
            <w:r>
              <w:t>The domain’s nouns, verbs, rules — its vocabulary</w:t>
            </w:r>
          </w:p>
        </w:tc>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AA91441" w14:textId="77777777" w:rsidR="00A233A1" w:rsidRDefault="0008082D">
            <w:r>
              <w:t>High — this is what actually steers code</w:t>
            </w:r>
          </w:p>
        </w:tc>
      </w:tr>
    </w:tbl>
    <w:p w14:paraId="2AA91443" w14:textId="77777777" w:rsidR="00A233A1" w:rsidRDefault="0008082D">
      <w:pPr>
        <w:spacing w:after="160" w:line="276" w:lineRule="auto"/>
        <w:jc w:val="both"/>
      </w:pPr>
      <w:r>
        <w:t>The highest-leverage context is the domain’s conceptual model, expressed as precise vocabulary — the view that code is not just instructions for a machine but a conceptual model of the domain, made visible through the words we choose. An agent writes code by matching names; if the names carry true, unambiguous meaning, the agent writes correct code. Context engineering, then, is not about piling on more Markdown — it is about giving the agent the right vocabulary to code in.</w:t>
      </w:r>
    </w:p>
    <w:p w14:paraId="3A12DA2A" w14:textId="77777777" w:rsidR="00B72A52" w:rsidRDefault="00B72A52">
      <w:pPr>
        <w:spacing w:after="160" w:line="276" w:lineRule="auto"/>
        <w:jc w:val="both"/>
      </w:pPr>
    </w:p>
    <w:p w14:paraId="2AA91444" w14:textId="77777777" w:rsidR="00A233A1" w:rsidRDefault="0008082D">
      <w:pPr>
        <w:pStyle w:val="Heading2"/>
      </w:pPr>
      <w:r>
        <w:lastRenderedPageBreak/>
        <w:t>1.3 Ubiquity (the ubiquitous language)</w:t>
      </w:r>
    </w:p>
    <w:p w14:paraId="2AA91445" w14:textId="77777777" w:rsidR="00A233A1" w:rsidRDefault="0008082D">
      <w:pPr>
        <w:spacing w:after="160" w:line="276" w:lineRule="auto"/>
        <w:jc w:val="both"/>
      </w:pPr>
      <w:r>
        <w:t>In Domain-Driven Design, the ubiquitous language is a single, precise vocabulary shared by domain experts and the code — no translation layer, no drift between what the business means and what the code says. Historically it kept humans aligned. The new insight is that the LLM is now a participant in that language: if the ubiquitous language is made machine-readable and enforceable, the agent speaks it too, everywhere it writes code.</w:t>
      </w:r>
    </w:p>
    <w:p w14:paraId="2AA91446" w14:textId="77777777" w:rsidR="00A233A1" w:rsidRDefault="0008082D">
      <w:pPr>
        <w:spacing w:after="160" w:line="276" w:lineRule="auto"/>
        <w:jc w:val="both"/>
      </w:pPr>
      <w:r>
        <w:t>“Ubiquitous” therefore has two senses here: the language is shared across everyone (experts, developers, and now the agent), and it is present at every point where code is written — not a document someone occasionally consults, but a live component of the harness.</w:t>
      </w:r>
    </w:p>
    <w:p w14:paraId="2AA91447" w14:textId="77777777" w:rsidR="00A233A1" w:rsidRDefault="0008082D">
      <w:pPr>
        <w:spacing w:after="160" w:line="276" w:lineRule="auto"/>
        <w:jc w:val="both"/>
      </w:pPr>
      <w:r>
        <w:rPr>
          <w:b/>
          <w:bCs/>
          <w:color w:val="1F3864"/>
        </w:rPr>
        <w:t xml:space="preserve">The thesis: </w:t>
      </w:r>
      <w:r>
        <w:rPr>
          <w:i/>
          <w:iCs/>
        </w:rPr>
        <w:t>the domain’s conceptual model, expressed as a ubiquitous language, is the most powerful context you can give an LLM — and harness engineering is how you deliver it, as an inferential guide (Markdown the agent reads) and a computational guide (tests the agent must pass). Lexicon builds exactly that for WFM/ACD.</w:t>
      </w:r>
    </w:p>
    <w:p w14:paraId="2AA91448" w14:textId="77777777" w:rsidR="00A233A1" w:rsidRDefault="0008082D">
      <w:r>
        <w:br w:type="page"/>
      </w:r>
    </w:p>
    <w:p w14:paraId="2AA91449" w14:textId="77777777" w:rsidR="00A233A1" w:rsidRDefault="0008082D">
      <w:pPr>
        <w:pStyle w:val="Heading1"/>
      </w:pPr>
      <w:r>
        <w:lastRenderedPageBreak/>
        <w:t>2. The Major Problem</w:t>
      </w:r>
    </w:p>
    <w:p w14:paraId="2AA9144A" w14:textId="77777777" w:rsidR="00A233A1" w:rsidRDefault="0008082D">
      <w:pPr>
        <w:spacing w:after="160" w:line="276" w:lineRule="auto"/>
        <w:jc w:val="both"/>
      </w:pPr>
      <w:r>
        <w:t>The bottleneck for coding agents in enterprise integration is no longer model capability. It is the absence of a precise, shared, machine-checkable domain vocabulary. Agents fail not from too few instructions but from ambiguous meaning.</w:t>
      </w:r>
    </w:p>
    <w:p w14:paraId="2AA9144B" w14:textId="77777777" w:rsidR="00A233A1" w:rsidRDefault="0008082D">
      <w:pPr>
        <w:pStyle w:val="Heading2"/>
      </w:pPr>
      <w:r>
        <w:t>2.1 The core problem</w:t>
      </w:r>
    </w:p>
    <w:p w14:paraId="2AA9144C" w14:textId="77777777" w:rsidR="00A233A1" w:rsidRDefault="0008082D">
      <w:pPr>
        <w:spacing w:after="160" w:line="276" w:lineRule="auto"/>
        <w:jc w:val="both"/>
      </w:pPr>
      <w:r>
        <w:rPr>
          <w:b/>
          <w:bCs/>
          <w:color w:val="C55A11"/>
        </w:rPr>
        <w:t>An LLM codes by pattern-matching on names. When the same concept wears different names across systems — or the same name means different things — the agent produces integration code that looks right, compiles, and is silently wrong. Our domain has no executable ubiquitous language to prevent this.</w:t>
      </w:r>
    </w:p>
    <w:p w14:paraId="2AA9144D" w14:textId="77777777" w:rsidR="00A233A1" w:rsidRDefault="0008082D">
      <w:pPr>
        <w:pStyle w:val="Heading2"/>
      </w:pPr>
      <w:r>
        <w:t>2.2 Why ACD integration is the worst case</w:t>
      </w:r>
    </w:p>
    <w:p w14:paraId="2AA9144E" w14:textId="77777777" w:rsidR="00A233A1" w:rsidRDefault="0008082D">
      <w:pPr>
        <w:spacing w:after="160" w:line="276" w:lineRule="auto"/>
        <w:jc w:val="both"/>
      </w:pPr>
      <w:r>
        <w:t>Multi-vendor ACD integration is a textbook Domain-Driven Design “bounded context” collision. The same WFM concept appears under different vendor dialects, and superficially similar terms carry genuinely different formulas: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233A1" w14:paraId="2AA91451" w14:textId="77777777">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2AA9144F" w14:textId="77777777" w:rsidR="00A233A1" w:rsidRDefault="0008082D">
            <w:r>
              <w:rPr>
                <w:b/>
                <w:bCs/>
                <w:color w:val="FFFFFF"/>
              </w:rPr>
              <w:t>Canonical concept</w:t>
            </w:r>
          </w:p>
        </w:tc>
        <w:tc>
          <w:tcPr>
            <w:tcW w:w="67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2AA91450" w14:textId="77777777" w:rsidR="00A233A1" w:rsidRDefault="0008082D">
            <w:r>
              <w:rPr>
                <w:b/>
                <w:bCs/>
                <w:color w:val="FFFFFF"/>
              </w:rPr>
              <w:t>Vendor dialect / trap</w:t>
            </w:r>
          </w:p>
        </w:tc>
      </w:tr>
      <w:tr w:rsidR="00A233A1" w14:paraId="2AA91454" w14:textId="77777777">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AA91452" w14:textId="77777777" w:rsidR="00A233A1" w:rsidRDefault="0008082D">
            <w:r>
              <w:t>Queue / routing point</w:t>
            </w:r>
          </w:p>
        </w:tc>
        <w:tc>
          <w:tcPr>
            <w:tcW w:w="6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AA91453" w14:textId="77777777" w:rsidR="00A233A1" w:rsidRDefault="0008082D">
            <w:r>
              <w:t>skill, split, gate, VDN (Avaya), CSQ (Cisco), queue (Genesys/Connect)</w:t>
            </w:r>
          </w:p>
        </w:tc>
      </w:tr>
      <w:tr w:rsidR="00A233A1" w14:paraId="2AA91457" w14:textId="77777777">
        <w:tc>
          <w:tcPr>
            <w:tcW w:w="2600" w:type="dxa"/>
            <w:tcBorders>
              <w:top w:val="single" w:sz="1" w:space="0" w:color="BFBFBF"/>
              <w:left w:val="single" w:sz="1" w:space="0" w:color="BFBFBF"/>
              <w:bottom w:val="single" w:sz="1" w:space="0" w:color="BFBFBF"/>
              <w:right w:val="single" w:sz="1" w:space="0" w:color="BFBFBF"/>
            </w:tcBorders>
            <w:shd w:val="clear" w:color="auto" w:fill="EAF0FA"/>
            <w:tcMar>
              <w:top w:w="80" w:type="dxa"/>
              <w:left w:w="120" w:type="dxa"/>
              <w:bottom w:w="80" w:type="dxa"/>
              <w:right w:w="120" w:type="dxa"/>
            </w:tcMar>
          </w:tcPr>
          <w:p w14:paraId="2AA91455" w14:textId="77777777" w:rsidR="00A233A1" w:rsidRDefault="0008082D">
            <w:r>
              <w:t>Occupancy</w:t>
            </w:r>
          </w:p>
        </w:tc>
        <w:tc>
          <w:tcPr>
            <w:tcW w:w="6760" w:type="dxa"/>
            <w:tcBorders>
              <w:top w:val="single" w:sz="1" w:space="0" w:color="BFBFBF"/>
              <w:left w:val="single" w:sz="1" w:space="0" w:color="BFBFBF"/>
              <w:bottom w:val="single" w:sz="1" w:space="0" w:color="BFBFBF"/>
              <w:right w:val="single" w:sz="1" w:space="0" w:color="BFBFBF"/>
            </w:tcBorders>
            <w:shd w:val="clear" w:color="auto" w:fill="EAF0FA"/>
            <w:tcMar>
              <w:top w:w="80" w:type="dxa"/>
              <w:left w:w="120" w:type="dxa"/>
              <w:bottom w:w="80" w:type="dxa"/>
              <w:right w:w="120" w:type="dxa"/>
            </w:tcMar>
          </w:tcPr>
          <w:p w14:paraId="2AA91456" w14:textId="77777777" w:rsidR="00A233A1" w:rsidRDefault="0008082D">
            <w:r>
              <w:t>some vendors report “utilization” with a different denominator — not the same number</w:t>
            </w:r>
          </w:p>
        </w:tc>
      </w:tr>
      <w:tr w:rsidR="00A233A1" w14:paraId="2AA9145A" w14:textId="77777777">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AA91458" w14:textId="77777777" w:rsidR="00A233A1" w:rsidRDefault="0008082D">
            <w:r>
              <w:t>No-answer / requeue</w:t>
            </w:r>
          </w:p>
        </w:tc>
        <w:tc>
          <w:tcPr>
            <w:tcW w:w="6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AA91459" w14:textId="77777777" w:rsidR="00A233A1" w:rsidRDefault="0008082D">
            <w:r>
              <w:t>RONA, redirect-on-no-answer, ring-no-answer — modelled differently per vendor</w:t>
            </w:r>
          </w:p>
        </w:tc>
      </w:tr>
      <w:tr w:rsidR="00A233A1" w14:paraId="2AA9145D" w14:textId="77777777">
        <w:tc>
          <w:tcPr>
            <w:tcW w:w="2600" w:type="dxa"/>
            <w:tcBorders>
              <w:top w:val="single" w:sz="1" w:space="0" w:color="BFBFBF"/>
              <w:left w:val="single" w:sz="1" w:space="0" w:color="BFBFBF"/>
              <w:bottom w:val="single" w:sz="1" w:space="0" w:color="BFBFBF"/>
              <w:right w:val="single" w:sz="1" w:space="0" w:color="BFBFBF"/>
            </w:tcBorders>
            <w:shd w:val="clear" w:color="auto" w:fill="EAF0FA"/>
            <w:tcMar>
              <w:top w:w="80" w:type="dxa"/>
              <w:left w:w="120" w:type="dxa"/>
              <w:bottom w:w="80" w:type="dxa"/>
              <w:right w:w="120" w:type="dxa"/>
            </w:tcMar>
          </w:tcPr>
          <w:p w14:paraId="2AA9145B" w14:textId="77777777" w:rsidR="00A233A1" w:rsidRDefault="0008082D">
            <w:r>
              <w:t>Adherence</w:t>
            </w:r>
          </w:p>
        </w:tc>
        <w:tc>
          <w:tcPr>
            <w:tcW w:w="6760" w:type="dxa"/>
            <w:tcBorders>
              <w:top w:val="single" w:sz="1" w:space="0" w:color="BFBFBF"/>
              <w:left w:val="single" w:sz="1" w:space="0" w:color="BFBFBF"/>
              <w:bottom w:val="single" w:sz="1" w:space="0" w:color="BFBFBF"/>
              <w:right w:val="single" w:sz="1" w:space="0" w:color="BFBFBF"/>
            </w:tcBorders>
            <w:shd w:val="clear" w:color="auto" w:fill="EAF0FA"/>
            <w:tcMar>
              <w:top w:w="80" w:type="dxa"/>
              <w:left w:w="120" w:type="dxa"/>
              <w:bottom w:w="80" w:type="dxa"/>
              <w:right w:w="120" w:type="dxa"/>
            </w:tcMar>
          </w:tcPr>
          <w:p w14:paraId="2AA9145C" w14:textId="77777777" w:rsidR="00A233A1" w:rsidRDefault="0008082D">
            <w:r>
              <w:t>adherence vs. conformance — related but distinct schedule-compliance measures</w:t>
            </w:r>
          </w:p>
        </w:tc>
      </w:tr>
    </w:tbl>
    <w:p w14:paraId="2AA9145E" w14:textId="77777777" w:rsidR="00A233A1" w:rsidRDefault="0008082D">
      <w:pPr>
        <w:spacing w:after="160" w:line="276" w:lineRule="auto"/>
        <w:jc w:val="both"/>
      </w:pPr>
      <w:r>
        <w:t>A generic coding agent maps “utilization” onto our “occupancy” because the words look alike, and the mistake is invisible until a forecast or a schedule is wrong weeks later.</w:t>
      </w:r>
    </w:p>
    <w:p w14:paraId="2AA9145F" w14:textId="77777777" w:rsidR="00A233A1" w:rsidRDefault="0008082D">
      <w:pPr>
        <w:pStyle w:val="Heading2"/>
      </w:pPr>
      <w:r>
        <w:t>2.3 Why it gets worse with agents, not better</w:t>
      </w:r>
    </w:p>
    <w:p w14:paraId="2AA91460" w14:textId="77777777" w:rsidR="00A233A1" w:rsidRDefault="0008082D">
      <w:pPr>
        <w:pStyle w:val="ListParagraph"/>
        <w:numPr>
          <w:ilvl w:val="0"/>
          <w:numId w:val="2"/>
        </w:numPr>
        <w:spacing w:after="80" w:line="264" w:lineRule="auto"/>
      </w:pPr>
      <w:r>
        <w:rPr>
          <w:b/>
          <w:bCs/>
        </w:rPr>
        <w:t xml:space="preserve">Tribal knowledge — </w:t>
      </w:r>
      <w:r>
        <w:t>Each new vendor integration re-learns the same semantics from tribal knowledge and scattered docs; the mapping lives in a few people’s heads.</w:t>
      </w:r>
    </w:p>
    <w:p w14:paraId="2AA91461" w14:textId="77777777" w:rsidR="00A233A1" w:rsidRDefault="0008082D">
      <w:pPr>
        <w:pStyle w:val="ListParagraph"/>
        <w:numPr>
          <w:ilvl w:val="0"/>
          <w:numId w:val="2"/>
        </w:numPr>
        <w:spacing w:after="80" w:line="264" w:lineRule="auto"/>
      </w:pPr>
      <w:r>
        <w:rPr>
          <w:b/>
          <w:bCs/>
        </w:rPr>
        <w:t xml:space="preserve">Vocabulary drift — </w:t>
      </w:r>
      <w:r>
        <w:t>Vendor-specific terms leak past the adapter boundary into the canonical domain layer, eroding the model over time.</w:t>
      </w:r>
    </w:p>
    <w:p w14:paraId="2AA91462" w14:textId="77777777" w:rsidR="00A233A1" w:rsidRDefault="0008082D">
      <w:pPr>
        <w:pStyle w:val="ListParagraph"/>
        <w:numPr>
          <w:ilvl w:val="0"/>
          <w:numId w:val="2"/>
        </w:numPr>
        <w:spacing w:after="80" w:line="264" w:lineRule="auto"/>
      </w:pPr>
      <w:r>
        <w:rPr>
          <w:b/>
          <w:bCs/>
        </w:rPr>
        <w:t xml:space="preserve">Amplification — </w:t>
      </w:r>
      <w:r>
        <w:t>Coding agents let us produce integrations far faster — which means they mass-produce the semantic mistakes just as fast, across more surface area.</w:t>
      </w:r>
    </w:p>
    <w:p w14:paraId="2AA91463" w14:textId="77777777" w:rsidR="00A233A1" w:rsidRDefault="0008082D">
      <w:pPr>
        <w:pStyle w:val="ListParagraph"/>
        <w:numPr>
          <w:ilvl w:val="0"/>
          <w:numId w:val="2"/>
        </w:numPr>
        <w:spacing w:after="80" w:line="264" w:lineRule="auto"/>
      </w:pPr>
      <w:r>
        <w:rPr>
          <w:b/>
          <w:bCs/>
        </w:rPr>
        <w:t xml:space="preserve">Silent failure — </w:t>
      </w:r>
      <w:r>
        <w:t>Because the errors are semantic, not syntactic, tests that check “does it run” pass while the meaning is wrong.</w:t>
      </w:r>
    </w:p>
    <w:p w14:paraId="2AA91464" w14:textId="77777777" w:rsidR="00A233A1" w:rsidRDefault="0008082D">
      <w:r>
        <w:br w:type="page"/>
      </w:r>
    </w:p>
    <w:p w14:paraId="2AA91465" w14:textId="77777777" w:rsidR="00A233A1" w:rsidRDefault="0008082D">
      <w:pPr>
        <w:pStyle w:val="Heading1"/>
      </w:pPr>
      <w:r>
        <w:lastRenderedPageBreak/>
        <w:t>3. The Cost We Are Facing</w:t>
      </w:r>
    </w:p>
    <w:p w14:paraId="2AA91466" w14:textId="77777777" w:rsidR="00A233A1" w:rsidRDefault="0008082D">
      <w:pPr>
        <w:spacing w:after="160" w:line="276" w:lineRule="auto"/>
        <w:jc w:val="both"/>
      </w:pPr>
      <w:r>
        <w:t>The cost of missing domain vocabulary is large precisely because it is invisible. It falls into four categories.</w:t>
      </w:r>
    </w:p>
    <w:p w14:paraId="2AA91467" w14:textId="77777777" w:rsidR="00A233A1" w:rsidRDefault="0008082D">
      <w:pPr>
        <w:pStyle w:val="Heading2"/>
      </w:pPr>
      <w:r>
        <w:t>3.1 Silent semantic errors (the expensive one)</w:t>
      </w:r>
    </w:p>
    <w:p w14:paraId="2AA91468" w14:textId="77777777" w:rsidR="00A233A1" w:rsidRDefault="0008082D">
      <w:pPr>
        <w:spacing w:after="160" w:line="276" w:lineRule="auto"/>
        <w:jc w:val="both"/>
      </w:pPr>
      <w:r>
        <w:t>A wrong mapping — utilization read as occupancy, conformance read as adherence — does not crash. It flows downstream: wrong occupancy feeds a wrong forecast, which produces a wrong schedule, which understaffs a queue, which breaches a service level. By the time it surfaces, it is a costly operational incident whose root cause is a single mistranslated word.</w:t>
      </w:r>
    </w:p>
    <w:p w14:paraId="2AA91469" w14:textId="77777777" w:rsidR="00A233A1" w:rsidRDefault="0008082D">
      <w:pPr>
        <w:pStyle w:val="Heading2"/>
      </w:pPr>
      <w:r>
        <w:t>3.2 Slow, repeated integration</w:t>
      </w:r>
    </w:p>
    <w:p w14:paraId="2AA9146A" w14:textId="77777777" w:rsidR="00A233A1" w:rsidRDefault="0008082D">
      <w:pPr>
        <w:spacing w:after="160" w:line="276" w:lineRule="auto"/>
        <w:jc w:val="both"/>
      </w:pPr>
      <w:r>
        <w:t>Every new ACD vendor integration re-discovers the same semantics. The mapping is re-derived, re-argued, and re-tested from scratch — a recurring engineering cost that never compounds into reusable knowledge.</w:t>
      </w:r>
    </w:p>
    <w:p w14:paraId="2AA9146B" w14:textId="77777777" w:rsidR="00A233A1" w:rsidRDefault="0008082D">
      <w:pPr>
        <w:pStyle w:val="Heading2"/>
      </w:pPr>
      <w:r>
        <w:t>3.3 Onboarding and key-person risk</w:t>
      </w:r>
    </w:p>
    <w:p w14:paraId="2AA9146C" w14:textId="77777777" w:rsidR="00A233A1" w:rsidRDefault="0008082D">
      <w:pPr>
        <w:spacing w:after="160" w:line="276" w:lineRule="auto"/>
        <w:jc w:val="both"/>
      </w:pPr>
      <w:r>
        <w:t>The vocabulary lives in a handful of experienced people. Onboarding a new engineer or a coding agent means transferring that tacit knowledge informally, slowly, and incompletely — and losing a key person loses part of the model.</w:t>
      </w:r>
    </w:p>
    <w:p w14:paraId="2AA9146D" w14:textId="77777777" w:rsidR="00A233A1" w:rsidRDefault="0008082D">
      <w:pPr>
        <w:pStyle w:val="Heading2"/>
      </w:pPr>
      <w:r>
        <w:t>3.4 Trust and adoption of AI itself</w:t>
      </w:r>
    </w:p>
    <w:p w14:paraId="2AA9146E" w14:textId="77777777" w:rsidR="00A233A1" w:rsidRDefault="0008082D">
      <w:pPr>
        <w:spacing w:after="160" w:line="276" w:lineRule="auto"/>
        <w:jc w:val="both"/>
      </w:pPr>
      <w:r>
        <w:t>If agent-generated integrations are quietly wrong, teams stop trusting agents for domain work — and the productivity promise of “AI in the driving seat” never materialises. Ironically, the fastest way to make AI useful here is to constrain it with the right vocabulary.</w:t>
      </w:r>
    </w:p>
    <w:p w14:paraId="2AA9146F" w14:textId="77777777" w:rsidR="00A233A1" w:rsidRDefault="0008082D">
      <w:pPr>
        <w:pStyle w:val="Heading2"/>
      </w:pPr>
      <w:r>
        <w:t>3.5 Illustrative cost model</w:t>
      </w:r>
    </w:p>
    <w:p w14:paraId="2AA91470" w14:textId="77777777" w:rsidR="00A233A1" w:rsidRDefault="0008082D">
      <w:pPr>
        <w:spacing w:after="160" w:line="276" w:lineRule="auto"/>
        <w:jc w:val="both"/>
      </w:pPr>
      <w:r>
        <w:t>The framework below is illustrative — the shape matters more than the cells, and it is meant to be populated with our own integration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230"/>
        <w:gridCol w:w="3230"/>
      </w:tblGrid>
      <w:tr w:rsidR="00A233A1" w14:paraId="2AA91474" w14:textId="77777777">
        <w:trPr>
          <w:tblHeader/>
        </w:trPr>
        <w:tc>
          <w:tcPr>
            <w:tcW w:w="2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2AA91471" w14:textId="77777777" w:rsidR="00A233A1" w:rsidRDefault="0008082D">
            <w:r>
              <w:rPr>
                <w:b/>
                <w:bCs/>
                <w:color w:val="FFFFFF"/>
              </w:rPr>
              <w:t>Cost driver</w:t>
            </w:r>
          </w:p>
        </w:tc>
        <w:tc>
          <w:tcPr>
            <w:tcW w:w="323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2AA91472" w14:textId="77777777" w:rsidR="00A233A1" w:rsidRDefault="0008082D">
            <w:r>
              <w:rPr>
                <w:b/>
                <w:bCs/>
                <w:color w:val="FFFFFF"/>
              </w:rPr>
              <w:t>Without a domain harness</w:t>
            </w:r>
          </w:p>
        </w:tc>
        <w:tc>
          <w:tcPr>
            <w:tcW w:w="323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2AA91473" w14:textId="77777777" w:rsidR="00A233A1" w:rsidRDefault="0008082D">
            <w:r>
              <w:rPr>
                <w:b/>
                <w:bCs/>
                <w:color w:val="FFFFFF"/>
              </w:rPr>
              <w:t>With Lexicon</w:t>
            </w:r>
          </w:p>
        </w:tc>
      </w:tr>
      <w:tr w:rsidR="00A233A1" w14:paraId="2AA91478" w14:textId="77777777">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AA91475" w14:textId="77777777" w:rsidR="00A233A1" w:rsidRDefault="0008082D">
            <w:r>
              <w:t>Semantic-error incidents</w:t>
            </w:r>
          </w:p>
        </w:tc>
        <w:tc>
          <w:tcPr>
            <w:tcW w:w="323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AA91476" w14:textId="77777777" w:rsidR="00A233A1" w:rsidRDefault="0008082D">
            <w:r>
              <w:t>Recurring, discovered late, downstream</w:t>
            </w:r>
          </w:p>
        </w:tc>
        <w:tc>
          <w:tcPr>
            <w:tcW w:w="323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AA91477" w14:textId="77777777" w:rsidR="00A233A1" w:rsidRDefault="0008082D">
            <w:r>
              <w:t>Blocked at contract-test time</w:t>
            </w:r>
          </w:p>
        </w:tc>
      </w:tr>
      <w:tr w:rsidR="00A233A1" w14:paraId="2AA9147C" w14:textId="77777777">
        <w:tc>
          <w:tcPr>
            <w:tcW w:w="2900" w:type="dxa"/>
            <w:tcBorders>
              <w:top w:val="single" w:sz="1" w:space="0" w:color="BFBFBF"/>
              <w:left w:val="single" w:sz="1" w:space="0" w:color="BFBFBF"/>
              <w:bottom w:val="single" w:sz="1" w:space="0" w:color="BFBFBF"/>
              <w:right w:val="single" w:sz="1" w:space="0" w:color="BFBFBF"/>
            </w:tcBorders>
            <w:shd w:val="clear" w:color="auto" w:fill="EAF0FA"/>
            <w:tcMar>
              <w:top w:w="80" w:type="dxa"/>
              <w:left w:w="120" w:type="dxa"/>
              <w:bottom w:w="80" w:type="dxa"/>
              <w:right w:w="120" w:type="dxa"/>
            </w:tcMar>
          </w:tcPr>
          <w:p w14:paraId="2AA91479" w14:textId="77777777" w:rsidR="00A233A1" w:rsidRDefault="0008082D">
            <w:r>
              <w:t>Time per new vendor</w:t>
            </w:r>
          </w:p>
        </w:tc>
        <w:tc>
          <w:tcPr>
            <w:tcW w:w="3230" w:type="dxa"/>
            <w:tcBorders>
              <w:top w:val="single" w:sz="1" w:space="0" w:color="BFBFBF"/>
              <w:left w:val="single" w:sz="1" w:space="0" w:color="BFBFBF"/>
              <w:bottom w:val="single" w:sz="1" w:space="0" w:color="BFBFBF"/>
              <w:right w:val="single" w:sz="1" w:space="0" w:color="BFBFBF"/>
            </w:tcBorders>
            <w:shd w:val="clear" w:color="auto" w:fill="EAF0FA"/>
            <w:tcMar>
              <w:top w:w="80" w:type="dxa"/>
              <w:left w:w="120" w:type="dxa"/>
              <w:bottom w:w="80" w:type="dxa"/>
              <w:right w:w="120" w:type="dxa"/>
            </w:tcMar>
          </w:tcPr>
          <w:p w14:paraId="2AA9147A" w14:textId="77777777" w:rsidR="00A233A1" w:rsidRDefault="0008082D">
            <w:r>
              <w:t>Re-learn semantics each time</w:t>
            </w:r>
          </w:p>
        </w:tc>
        <w:tc>
          <w:tcPr>
            <w:tcW w:w="3230" w:type="dxa"/>
            <w:tcBorders>
              <w:top w:val="single" w:sz="1" w:space="0" w:color="BFBFBF"/>
              <w:left w:val="single" w:sz="1" w:space="0" w:color="BFBFBF"/>
              <w:bottom w:val="single" w:sz="1" w:space="0" w:color="BFBFBF"/>
              <w:right w:val="single" w:sz="1" w:space="0" w:color="BFBFBF"/>
            </w:tcBorders>
            <w:shd w:val="clear" w:color="auto" w:fill="EAF0FA"/>
            <w:tcMar>
              <w:top w:w="80" w:type="dxa"/>
              <w:left w:w="120" w:type="dxa"/>
              <w:bottom w:w="80" w:type="dxa"/>
              <w:right w:w="120" w:type="dxa"/>
            </w:tcMar>
          </w:tcPr>
          <w:p w14:paraId="2AA9147B" w14:textId="77777777" w:rsidR="00A233A1" w:rsidRDefault="0008082D">
            <w:r>
              <w:t>Reuse ontology + dialect map</w:t>
            </w:r>
          </w:p>
        </w:tc>
      </w:tr>
      <w:tr w:rsidR="00A233A1" w14:paraId="2AA91480" w14:textId="77777777">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AA9147D" w14:textId="77777777" w:rsidR="00A233A1" w:rsidRDefault="0008082D">
            <w:r>
              <w:t>Knowledge location</w:t>
            </w:r>
          </w:p>
        </w:tc>
        <w:tc>
          <w:tcPr>
            <w:tcW w:w="323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AA9147E" w14:textId="77777777" w:rsidR="00A233A1" w:rsidRDefault="0008082D">
            <w:r>
              <w:t>Tribal, key-person risk</w:t>
            </w:r>
          </w:p>
        </w:tc>
        <w:tc>
          <w:tcPr>
            <w:tcW w:w="323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AA9147F" w14:textId="77777777" w:rsidR="00A233A1" w:rsidRDefault="0008082D">
            <w:r>
              <w:t>Explicit, versioned, executable</w:t>
            </w:r>
          </w:p>
        </w:tc>
      </w:tr>
      <w:tr w:rsidR="00A233A1" w14:paraId="2AA91484" w14:textId="77777777">
        <w:tc>
          <w:tcPr>
            <w:tcW w:w="2900" w:type="dxa"/>
            <w:tcBorders>
              <w:top w:val="single" w:sz="1" w:space="0" w:color="BFBFBF"/>
              <w:left w:val="single" w:sz="1" w:space="0" w:color="BFBFBF"/>
              <w:bottom w:val="single" w:sz="1" w:space="0" w:color="BFBFBF"/>
              <w:right w:val="single" w:sz="1" w:space="0" w:color="BFBFBF"/>
            </w:tcBorders>
            <w:shd w:val="clear" w:color="auto" w:fill="EAF0FA"/>
            <w:tcMar>
              <w:top w:w="80" w:type="dxa"/>
              <w:left w:w="120" w:type="dxa"/>
              <w:bottom w:w="80" w:type="dxa"/>
              <w:right w:w="120" w:type="dxa"/>
            </w:tcMar>
          </w:tcPr>
          <w:p w14:paraId="2AA91481" w14:textId="77777777" w:rsidR="00A233A1" w:rsidRDefault="0008082D">
            <w:r>
              <w:t>Agent output quality</w:t>
            </w:r>
          </w:p>
        </w:tc>
        <w:tc>
          <w:tcPr>
            <w:tcW w:w="3230" w:type="dxa"/>
            <w:tcBorders>
              <w:top w:val="single" w:sz="1" w:space="0" w:color="BFBFBF"/>
              <w:left w:val="single" w:sz="1" w:space="0" w:color="BFBFBF"/>
              <w:bottom w:val="single" w:sz="1" w:space="0" w:color="BFBFBF"/>
              <w:right w:val="single" w:sz="1" w:space="0" w:color="BFBFBF"/>
            </w:tcBorders>
            <w:shd w:val="clear" w:color="auto" w:fill="EAF0FA"/>
            <w:tcMar>
              <w:top w:w="80" w:type="dxa"/>
              <w:left w:w="120" w:type="dxa"/>
              <w:bottom w:w="80" w:type="dxa"/>
              <w:right w:w="120" w:type="dxa"/>
            </w:tcMar>
          </w:tcPr>
          <w:p w14:paraId="2AA91482" w14:textId="77777777" w:rsidR="00A233A1" w:rsidRDefault="0008082D">
            <w:r>
              <w:t>Confident but drift-prone</w:t>
            </w:r>
          </w:p>
        </w:tc>
        <w:tc>
          <w:tcPr>
            <w:tcW w:w="3230" w:type="dxa"/>
            <w:tcBorders>
              <w:top w:val="single" w:sz="1" w:space="0" w:color="BFBFBF"/>
              <w:left w:val="single" w:sz="1" w:space="0" w:color="BFBFBF"/>
              <w:bottom w:val="single" w:sz="1" w:space="0" w:color="BFBFBF"/>
              <w:right w:val="single" w:sz="1" w:space="0" w:color="BFBFBF"/>
            </w:tcBorders>
            <w:shd w:val="clear" w:color="auto" w:fill="EAF0FA"/>
            <w:tcMar>
              <w:top w:w="80" w:type="dxa"/>
              <w:left w:w="120" w:type="dxa"/>
              <w:bottom w:w="80" w:type="dxa"/>
              <w:right w:w="120" w:type="dxa"/>
            </w:tcMar>
          </w:tcPr>
          <w:p w14:paraId="2AA91483" w14:textId="77777777" w:rsidR="00A233A1" w:rsidRDefault="0008082D">
            <w:r>
              <w:t>Steered and enforced</w:t>
            </w:r>
          </w:p>
        </w:tc>
      </w:tr>
    </w:tbl>
    <w:p w14:paraId="2AA91485" w14:textId="77777777" w:rsidR="00A233A1" w:rsidRDefault="0008082D">
      <w:r>
        <w:br w:type="page"/>
      </w:r>
    </w:p>
    <w:p w14:paraId="2AA91486" w14:textId="77777777" w:rsidR="00A233A1" w:rsidRDefault="0008082D">
      <w:pPr>
        <w:pStyle w:val="Heading1"/>
      </w:pPr>
      <w:r>
        <w:lastRenderedPageBreak/>
        <w:t>4. The Need for a Conceptual Model</w:t>
      </w:r>
    </w:p>
    <w:p w14:paraId="2AA91487" w14:textId="77777777" w:rsidR="00A233A1" w:rsidRDefault="0008082D">
      <w:pPr>
        <w:spacing w:after="160" w:line="276" w:lineRule="auto"/>
        <w:jc w:val="both"/>
      </w:pPr>
      <w:r>
        <w:t>The instinctive fix — write more specs and more prompt instructions — does not work, and it is worth being clear why the answer must be an executable conceptual model instead.</w:t>
      </w:r>
    </w:p>
    <w:p w14:paraId="2AA91488" w14:textId="77777777" w:rsidR="00A233A1" w:rsidRDefault="0008082D">
      <w:pPr>
        <w:pStyle w:val="Heading2"/>
      </w:pPr>
      <w:r>
        <w:t>4.1 More specs is the failure mode, not the fix</w:t>
      </w:r>
    </w:p>
    <w:p w14:paraId="2AA91489" w14:textId="77777777" w:rsidR="00A233A1" w:rsidRDefault="0008082D">
      <w:pPr>
        <w:spacing w:after="160" w:line="276" w:lineRule="auto"/>
        <w:jc w:val="both"/>
      </w:pPr>
      <w:r>
        <w:t>Spec-driven development shows what happens when teams pile instructional context onto agents without fixing the underlying vocabulary: a growing pile of Markdown specifications that nobody reads and that do not reliably steer the agent. Instructions are the lowest-leverage layer of context. Adding more of them cannot fix an ambiguity that lives in the meaning of the words themselves.</w:t>
      </w:r>
    </w:p>
    <w:p w14:paraId="2AA9148A" w14:textId="77777777" w:rsidR="00A233A1" w:rsidRDefault="0008082D">
      <w:pPr>
        <w:pStyle w:val="Heading2"/>
      </w:pPr>
      <w:r>
        <w:t>4.2 The conceptual model is the real lever</w:t>
      </w:r>
    </w:p>
    <w:p w14:paraId="2AA9148B" w14:textId="77777777" w:rsidR="00A233A1" w:rsidRDefault="0008082D">
      <w:pPr>
        <w:spacing w:after="160" w:line="276" w:lineRule="auto"/>
        <w:jc w:val="both"/>
      </w:pPr>
      <w:r>
        <w:t>What actually steers an agent to correct code is the domain’s conceptual model — the precise definitions of Occupancy, Adherence, Queue, RONA and how each vendor deviates. Making that model explicit, shared, and machine-checkable is the highest-leverage move available. This is the ubiquitous language, promoted from documentation to infrastructure.</w:t>
      </w:r>
    </w:p>
    <w:p w14:paraId="2AA9148C" w14:textId="77777777" w:rsidR="00A233A1" w:rsidRDefault="0008082D">
      <w:pPr>
        <w:pStyle w:val="Heading2"/>
      </w:pPr>
      <w:r>
        <w:t>4.3 What the conceptual model must provide</w:t>
      </w:r>
    </w:p>
    <w:p w14:paraId="2AA9148D" w14:textId="77777777" w:rsidR="00A233A1" w:rsidRDefault="0008082D">
      <w:pPr>
        <w:pStyle w:val="ListParagraph"/>
        <w:numPr>
          <w:ilvl w:val="0"/>
          <w:numId w:val="3"/>
        </w:numPr>
        <w:spacing w:after="80" w:line="264" w:lineRule="auto"/>
      </w:pPr>
      <w:r>
        <w:rPr>
          <w:b/>
          <w:bCs/>
        </w:rPr>
        <w:t xml:space="preserve">A canonical vocabulary — </w:t>
      </w:r>
      <w:r>
        <w:t>one authoritative definition per concept, including the formula, so “occupancy” means exactly one thing.</w:t>
      </w:r>
    </w:p>
    <w:p w14:paraId="2AA9148E" w14:textId="77777777" w:rsidR="00A233A1" w:rsidRDefault="0008082D">
      <w:pPr>
        <w:pStyle w:val="ListParagraph"/>
        <w:numPr>
          <w:ilvl w:val="0"/>
          <w:numId w:val="3"/>
        </w:numPr>
        <w:spacing w:after="80" w:line="264" w:lineRule="auto"/>
      </w:pPr>
      <w:r>
        <w:rPr>
          <w:b/>
          <w:bCs/>
        </w:rPr>
        <w:t xml:space="preserve">A dialect map — </w:t>
      </w:r>
      <w:r>
        <w:t>an explicit map from each vendor’s dialect to the canonical term, with the traps called out.</w:t>
      </w:r>
    </w:p>
    <w:p w14:paraId="2AA9148F" w14:textId="77777777" w:rsidR="00A233A1" w:rsidRDefault="0008082D">
      <w:pPr>
        <w:pStyle w:val="ListParagraph"/>
        <w:numPr>
          <w:ilvl w:val="0"/>
          <w:numId w:val="3"/>
        </w:numPr>
        <w:spacing w:after="80" w:line="264" w:lineRule="auto"/>
      </w:pPr>
      <w:r>
        <w:rPr>
          <w:b/>
          <w:bCs/>
        </w:rPr>
        <w:t xml:space="preserve">Two forms — </w:t>
      </w:r>
      <w:r>
        <w:t>the model must be readable by the agent (inferential guide) and enforceable by tests (computational guide) — not a static wiki.</w:t>
      </w:r>
    </w:p>
    <w:p w14:paraId="2AA91490" w14:textId="77777777" w:rsidR="00A233A1" w:rsidRDefault="0008082D">
      <w:pPr>
        <w:pStyle w:val="ListParagraph"/>
        <w:numPr>
          <w:ilvl w:val="0"/>
          <w:numId w:val="3"/>
        </w:numPr>
        <w:spacing w:after="80" w:line="264" w:lineRule="auto"/>
      </w:pPr>
      <w:r>
        <w:rPr>
          <w:b/>
          <w:bCs/>
        </w:rPr>
        <w:t xml:space="preserve">A feedback loop — </w:t>
      </w:r>
      <w:r>
        <w:t>a way to detect and correct drift so the model stays true as vendors and code evolve.</w:t>
      </w:r>
    </w:p>
    <w:p w14:paraId="2AA91491" w14:textId="77777777" w:rsidR="00A233A1" w:rsidRDefault="0008082D">
      <w:pPr>
        <w:pStyle w:val="Heading2"/>
      </w:pPr>
      <w:r>
        <w:t>4.4 Why now</w:t>
      </w:r>
    </w:p>
    <w:p w14:paraId="2AA91492" w14:textId="77777777" w:rsidR="00A233A1" w:rsidRDefault="0008082D">
      <w:pPr>
        <w:spacing w:after="160" w:line="276" w:lineRule="auto"/>
        <w:jc w:val="both"/>
      </w:pPr>
      <w:r>
        <w:t xml:space="preserve">Agents are about to write a large share of our integration code. If we hand them an ambiguous vocabulary, they will encode our ambiguity at scale and at speed. Establishing the conceptual model as a harness now — while the estate is still small enough to model — is far cheaper than untangling mistranslated integrations later. </w:t>
      </w:r>
      <w:proofErr w:type="spellStart"/>
      <w:r>
        <w:t>Sparkathon</w:t>
      </w:r>
      <w:proofErr w:type="spellEnd"/>
      <w:r>
        <w:t xml:space="preserve"> 2026, with AI explicitly in the driving seat, is the right moment to set this as the default.</w:t>
      </w:r>
    </w:p>
    <w:p w14:paraId="2AA91493" w14:textId="77777777" w:rsidR="00A233A1" w:rsidRDefault="0008082D">
      <w:r>
        <w:br w:type="page"/>
      </w:r>
    </w:p>
    <w:p w14:paraId="2AA91494" w14:textId="77777777" w:rsidR="00A233A1" w:rsidRDefault="0008082D">
      <w:pPr>
        <w:pStyle w:val="Heading1"/>
      </w:pPr>
      <w:r>
        <w:lastRenderedPageBreak/>
        <w:t>5. The Proposed Solution: Lexicon</w:t>
      </w:r>
    </w:p>
    <w:p w14:paraId="2AA91495" w14:textId="77777777" w:rsidR="00A233A1" w:rsidRDefault="0008082D">
      <w:pPr>
        <w:spacing w:after="160" w:line="276" w:lineRule="auto"/>
        <w:jc w:val="both"/>
      </w:pPr>
      <w:r>
        <w:rPr>
          <w:b/>
          <w:bCs/>
        </w:rPr>
        <w:t>Lexicon is a Domain Context Harness that makes the WFM/ACD conceptual model executable, so any LLM codes in the correct, vendor-neutral ubiquitous language — taught by an inferential guide, enforced by a computational guide, and kept honest by a sensor.</w:t>
      </w:r>
    </w:p>
    <w:p w14:paraId="2AA91496" w14:textId="77777777" w:rsidR="00A233A1" w:rsidRDefault="0008082D">
      <w:pPr>
        <w:pStyle w:val="Heading2"/>
      </w:pPr>
      <w:r>
        <w:t>5.1 The three components</w:t>
      </w:r>
    </w:p>
    <w:p w14:paraId="2AA91497" w14:textId="77777777" w:rsidR="00A233A1" w:rsidRDefault="0008082D">
      <w:pPr>
        <w:pStyle w:val="ListParagraph"/>
        <w:numPr>
          <w:ilvl w:val="0"/>
          <w:numId w:val="2"/>
        </w:numPr>
        <w:spacing w:after="80" w:line="264" w:lineRule="auto"/>
      </w:pPr>
      <w:r>
        <w:rPr>
          <w:b/>
          <w:bCs/>
        </w:rPr>
        <w:t xml:space="preserve">Inferential guide (feedforward) — </w:t>
      </w:r>
      <w:r>
        <w:t>a machine-readable glossary and dialect map — Markdown skill files defining each canonical concept (Skill, Queue, Agent State, Occupancy, Adherence, Shrinkage, Service Level, AHT, ACW, RONA, Interaction), its formula, and each vendor’s equivalent and traps. The agent reads this before it writes a line, so it codes in the right language.</w:t>
      </w:r>
    </w:p>
    <w:p w14:paraId="2AA91498" w14:textId="77777777" w:rsidR="00A233A1" w:rsidRDefault="0008082D">
      <w:pPr>
        <w:pStyle w:val="ListParagraph"/>
        <w:numPr>
          <w:ilvl w:val="0"/>
          <w:numId w:val="2"/>
        </w:numPr>
        <w:spacing w:after="80" w:line="264" w:lineRule="auto"/>
      </w:pPr>
      <w:r>
        <w:rPr>
          <w:b/>
          <w:bCs/>
        </w:rPr>
        <w:t xml:space="preserve">Computational guide (feedforward + sensor) — </w:t>
      </w:r>
      <w:r>
        <w:t>a canonical schema plus contract tests with golden sample payloads per vendor. Any new adapter must map the vendor feed into the canonical model and pass these tests — so the vocabulary is enforced deterministically, not merely suggested.</w:t>
      </w:r>
    </w:p>
    <w:p w14:paraId="2AA91499" w14:textId="77777777" w:rsidR="00A233A1" w:rsidRDefault="0008082D">
      <w:pPr>
        <w:pStyle w:val="ListParagraph"/>
        <w:numPr>
          <w:ilvl w:val="0"/>
          <w:numId w:val="2"/>
        </w:numPr>
        <w:spacing w:after="80" w:line="264" w:lineRule="auto"/>
      </w:pPr>
      <w:r>
        <w:rPr>
          <w:b/>
          <w:bCs/>
        </w:rPr>
        <w:t xml:space="preserve">Ubiquitous Language Sensor (feedback) — </w:t>
      </w:r>
      <w:r>
        <w:t>a lightweight scanner over commits and pull requests that flags vocabulary drift — an undefined term, one concept named two ways, or vendor jargon leaking past the adapter boundary — and proposes updates to the ontology, closing the feedback loop for meaning rather than syntax.</w:t>
      </w:r>
    </w:p>
    <w:p w14:paraId="2AA9149A" w14:textId="77777777" w:rsidR="00A233A1" w:rsidRDefault="0008082D">
      <w:pPr>
        <w:pStyle w:val="Heading2"/>
      </w:pPr>
      <w:r>
        <w:t>5.2 Why it is different</w:t>
      </w:r>
    </w:p>
    <w:p w14:paraId="2AA9149B" w14:textId="77777777" w:rsidR="00A233A1" w:rsidRDefault="0008082D">
      <w:pPr>
        <w:pStyle w:val="ListParagraph"/>
        <w:numPr>
          <w:ilvl w:val="0"/>
          <w:numId w:val="2"/>
        </w:numPr>
        <w:spacing w:after="80" w:line="264" w:lineRule="auto"/>
      </w:pPr>
      <w:r>
        <w:rPr>
          <w:b/>
          <w:bCs/>
        </w:rPr>
        <w:t xml:space="preserve">Vocabulary as a first-class harness component — </w:t>
      </w:r>
      <w:r>
        <w:t>existing harnesses enforce code quality; Lexicon enforces domain meaning. That is genuine white space.</w:t>
      </w:r>
    </w:p>
    <w:p w14:paraId="2AA9149C" w14:textId="77777777" w:rsidR="00A233A1" w:rsidRDefault="0008082D">
      <w:pPr>
        <w:pStyle w:val="ListParagraph"/>
        <w:numPr>
          <w:ilvl w:val="0"/>
          <w:numId w:val="2"/>
        </w:numPr>
        <w:spacing w:after="80" w:line="264" w:lineRule="auto"/>
      </w:pPr>
      <w:r>
        <w:rPr>
          <w:b/>
          <w:bCs/>
        </w:rPr>
        <w:t xml:space="preserve">It compounds — </w:t>
      </w:r>
      <w:r>
        <w:t>the ontology and dialect map are reused by every future vendor integration and every agent, so value compounds instead of being re-derived.</w:t>
      </w:r>
    </w:p>
    <w:p w14:paraId="2AA9149D" w14:textId="77777777" w:rsidR="00A233A1" w:rsidRDefault="0008082D">
      <w:pPr>
        <w:pStyle w:val="ListParagraph"/>
        <w:numPr>
          <w:ilvl w:val="0"/>
          <w:numId w:val="2"/>
        </w:numPr>
        <w:spacing w:after="80" w:line="264" w:lineRule="auto"/>
      </w:pPr>
      <w:r>
        <w:rPr>
          <w:b/>
          <w:bCs/>
        </w:rPr>
        <w:t xml:space="preserve">It is living — </w:t>
      </w:r>
      <w:r>
        <w:t>the sensor updates the ontology as the domain evolves, so the conceptual model does not rot.</w:t>
      </w:r>
    </w:p>
    <w:p w14:paraId="2AA9149E" w14:textId="77777777" w:rsidR="00A233A1" w:rsidRDefault="0008082D">
      <w:pPr>
        <w:pStyle w:val="ListParagraph"/>
        <w:numPr>
          <w:ilvl w:val="0"/>
          <w:numId w:val="2"/>
        </w:numPr>
        <w:spacing w:after="80" w:line="264" w:lineRule="auto"/>
      </w:pPr>
      <w:r>
        <w:rPr>
          <w:b/>
          <w:bCs/>
        </w:rPr>
        <w:t xml:space="preserve">It generalises — </w:t>
      </w:r>
      <w:r>
        <w:t>the same pattern generalises to any legacy domain with vocabulary collisions; ACD is the beachhead, not the ceiling.</w:t>
      </w:r>
    </w:p>
    <w:p w14:paraId="2AA9149F" w14:textId="77777777" w:rsidR="00A233A1" w:rsidRDefault="0008082D">
      <w:pPr>
        <w:pStyle w:val="Heading2"/>
      </w:pPr>
      <w:r>
        <w:t>5.3 The demo that proves it</w:t>
      </w:r>
    </w:p>
    <w:p w14:paraId="2AA914A0" w14:textId="77777777" w:rsidR="00A233A1" w:rsidRDefault="0008082D">
      <w:pPr>
        <w:spacing w:after="160" w:line="276" w:lineRule="auto"/>
        <w:jc w:val="both"/>
      </w:pPr>
      <w:r>
        <w:t xml:space="preserve">Run a coding agent on a real task — “integrate vendor X’s real-time adherence feed into the canonical model” — twice. First with generic prompting: it </w:t>
      </w:r>
      <w:proofErr w:type="spellStart"/>
      <w:r>
        <w:t>mismaps</w:t>
      </w:r>
      <w:proofErr w:type="spellEnd"/>
      <w:r>
        <w:t xml:space="preserve"> utilization/occupancy or conformance/adherence, and the contract tests fail. Then with Lexicon’s guides in place: it produces a correct, vocabulary-compliant adapter that passes. Finally, inject a vocabulary-drift change into a pull request and show the sensor catch it. The result is concrete and hard to argue with — and it is credible precisely because it is specified by someone who manages ACD integration and knows where the real semantic landmines are.</w:t>
      </w:r>
    </w:p>
    <w:p w14:paraId="154203C0" w14:textId="77777777" w:rsidR="0022414C" w:rsidRDefault="0022414C">
      <w:pPr>
        <w:spacing w:after="160" w:line="276" w:lineRule="auto"/>
        <w:jc w:val="both"/>
      </w:pPr>
    </w:p>
    <w:p w14:paraId="4E890BD1" w14:textId="77777777" w:rsidR="0022414C" w:rsidRDefault="0022414C">
      <w:pPr>
        <w:spacing w:after="160" w:line="276" w:lineRule="auto"/>
        <w:jc w:val="both"/>
      </w:pPr>
    </w:p>
    <w:p w14:paraId="2AA914A1" w14:textId="77777777" w:rsidR="00A233A1" w:rsidRDefault="0008082D">
      <w:pPr>
        <w:pStyle w:val="Heading2"/>
      </w:pPr>
      <w:r>
        <w:lastRenderedPageBreak/>
        <w:t>5.4 The horizon</w:t>
      </w:r>
    </w:p>
    <w:p w14:paraId="2AA914A2" w14:textId="77777777" w:rsidR="00A233A1" w:rsidRDefault="0008082D">
      <w:pPr>
        <w:spacing w:after="160" w:line="276" w:lineRule="auto"/>
        <w:jc w:val="both"/>
      </w:pPr>
      <w:r>
        <w:t>Lexicon’s flagship is ACD/WFM, but the underlying idea — harness engineering applied to domain meaning — is a general capability. The same approach can mine any legacy domain for its implicit vocabulary and bounded contexts and generate the guides and sensor automatically. ACD is the proof; “a domain context harness for any enterprise domain” is the platform vision.</w:t>
      </w:r>
    </w:p>
    <w:p w14:paraId="2AA914A3" w14:textId="77777777" w:rsidR="00A233A1" w:rsidRDefault="0008082D">
      <w:r>
        <w:br w:type="page"/>
      </w:r>
    </w:p>
    <w:p w14:paraId="2AA914A4" w14:textId="77777777" w:rsidR="00A233A1" w:rsidRDefault="0008082D">
      <w:pPr>
        <w:pStyle w:val="Heading1"/>
      </w:pPr>
      <w:r>
        <w:lastRenderedPageBreak/>
        <w:t>6. Delivery Phases</w:t>
      </w:r>
    </w:p>
    <w:p w14:paraId="2AA914A5" w14:textId="77777777" w:rsidR="00A233A1" w:rsidRDefault="0008082D">
      <w:pPr>
        <w:spacing w:after="160" w:line="276" w:lineRule="auto"/>
        <w:jc w:val="both"/>
      </w:pPr>
      <w:r>
        <w:t>Lexicon is delivered in phases that each produce something usable, so value is proven early. Phases 0–2 are achievable within a hackathon window; Phases 3–4 are the productization path.</w:t>
      </w:r>
    </w:p>
    <w:p w14:paraId="2AA914A6" w14:textId="77777777" w:rsidR="00A233A1" w:rsidRDefault="0008082D">
      <w:pPr>
        <w:pStyle w:val="Heading2"/>
      </w:pPr>
      <w:r>
        <w:t>Phase 0 — Canonical Ontology</w:t>
      </w:r>
    </w:p>
    <w:p w14:paraId="2AA914A7" w14:textId="77777777" w:rsidR="00A233A1" w:rsidRDefault="0008082D">
      <w:pPr>
        <w:spacing w:after="160" w:line="276" w:lineRule="auto"/>
        <w:jc w:val="both"/>
      </w:pPr>
      <w:r>
        <w:t>Define the canonical WFM vocabulary: a focused set of concepts (around 10–15) with precise definitions and formulas. This is the conceptual model, agreed and written down as the single source of truth. Cheap, high-leverage, mostly domain expertise.</w:t>
      </w:r>
    </w:p>
    <w:p w14:paraId="2AA914A8" w14:textId="77777777" w:rsidR="00A233A1" w:rsidRDefault="0008082D">
      <w:pPr>
        <w:pStyle w:val="Heading2"/>
      </w:pPr>
      <w:r>
        <w:t>Phase 1 — The Two Guides</w:t>
      </w:r>
    </w:p>
    <w:p w14:paraId="2AA914A9" w14:textId="77777777" w:rsidR="00A233A1" w:rsidRDefault="0008082D">
      <w:pPr>
        <w:spacing w:after="160" w:line="276" w:lineRule="auto"/>
        <w:jc w:val="both"/>
      </w:pPr>
      <w:r>
        <w:t>Turn the ontology into the inferential guide (Markdown glossary/skill files the agent reads) and the computational guide (canonical schema + contract tests with golden payloads for two vendors, e.g. Genesys and one other). This is the harness itself.</w:t>
      </w:r>
    </w:p>
    <w:p w14:paraId="2AA914AA" w14:textId="77777777" w:rsidR="00A233A1" w:rsidRDefault="0008082D">
      <w:pPr>
        <w:pStyle w:val="Heading2"/>
      </w:pPr>
      <w:r>
        <w:t>Phase 2 — Beachhead Demo</w:t>
      </w:r>
    </w:p>
    <w:p w14:paraId="2AA914AB" w14:textId="77777777" w:rsidR="00A233A1" w:rsidRDefault="0008082D">
      <w:pPr>
        <w:spacing w:after="160" w:line="276" w:lineRule="auto"/>
        <w:jc w:val="both"/>
      </w:pPr>
      <w:r>
        <w:t xml:space="preserve">Run the before/after integration demo on a real adherence or occupancy feed, measure mapping accuracy and contract-test pass rate with and without the harness, and add the Ubiquitous Language Sensor to catch an injected drift bug in a pull request. This is the </w:t>
      </w:r>
      <w:proofErr w:type="spellStart"/>
      <w:r>
        <w:t>Sparkathon</w:t>
      </w:r>
      <w:proofErr w:type="spellEnd"/>
      <w:r>
        <w:t>-winning artefact.</w:t>
      </w:r>
    </w:p>
    <w:p w14:paraId="2AA914AC" w14:textId="77777777" w:rsidR="00A233A1" w:rsidRDefault="0008082D">
      <w:pPr>
        <w:pStyle w:val="Heading2"/>
      </w:pPr>
      <w:r>
        <w:t>Phase 3 — Broaden Coverage</w:t>
      </w:r>
    </w:p>
    <w:p w14:paraId="2AA914AD" w14:textId="77777777" w:rsidR="00A233A1" w:rsidRDefault="0008082D">
      <w:pPr>
        <w:spacing w:after="160" w:line="276" w:lineRule="auto"/>
        <w:jc w:val="both"/>
      </w:pPr>
      <w:r>
        <w:t>Extend the ontology and dialect maps to the full vendor set (Avaya, Cisco, NICE, Five9, Amazon Connect) and the full concept set, and harden the sensor into a CI check that runs on every pull request.</w:t>
      </w:r>
    </w:p>
    <w:p w14:paraId="2AA914AE" w14:textId="77777777" w:rsidR="00A233A1" w:rsidRDefault="0008082D">
      <w:pPr>
        <w:pStyle w:val="Heading2"/>
      </w:pPr>
      <w:r>
        <w:t>Phase 4 — Generalise the Harness</w:t>
      </w:r>
    </w:p>
    <w:p w14:paraId="2AA914AF" w14:textId="77777777" w:rsidR="00A233A1" w:rsidRDefault="0008082D">
      <w:pPr>
        <w:spacing w:after="160" w:line="276" w:lineRule="auto"/>
        <w:jc w:val="both"/>
      </w:pPr>
      <w:r>
        <w:t>Package the pattern as a reusable Domain Context Harness that can be pointed at other domains: tooling to mine an existing codebase for its implicit vocabulary and bounded contexts and generate the guides and sensor. ACD becomes the flagship reference implementation.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700"/>
        <w:gridCol w:w="4260"/>
      </w:tblGrid>
      <w:tr w:rsidR="00A233A1" w14:paraId="2AA914B3" w14:textId="77777777">
        <w:trPr>
          <w:tblHeader/>
        </w:trPr>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2AA914B0" w14:textId="77777777" w:rsidR="00A233A1" w:rsidRDefault="0008082D">
            <w:r>
              <w:rPr>
                <w:b/>
                <w:bCs/>
                <w:color w:val="FFFFFF"/>
              </w:rPr>
              <w:t>Phase</w:t>
            </w:r>
          </w:p>
        </w:tc>
        <w:tc>
          <w:tcPr>
            <w:tcW w:w="37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2AA914B1" w14:textId="77777777" w:rsidR="00A233A1" w:rsidRDefault="0008082D">
            <w:r>
              <w:rPr>
                <w:b/>
                <w:bCs/>
                <w:color w:val="FFFFFF"/>
              </w:rPr>
              <w:t>Focus</w:t>
            </w:r>
          </w:p>
        </w:tc>
        <w:tc>
          <w:tcPr>
            <w:tcW w:w="42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2AA914B2" w14:textId="77777777" w:rsidR="00A233A1" w:rsidRDefault="0008082D">
            <w:r>
              <w:rPr>
                <w:b/>
                <w:bCs/>
                <w:color w:val="FFFFFF"/>
              </w:rPr>
              <w:t>Outcome</w:t>
            </w:r>
          </w:p>
        </w:tc>
      </w:tr>
      <w:tr w:rsidR="00A233A1" w14:paraId="2AA914B7" w14:textId="77777777">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AA914B4" w14:textId="77777777" w:rsidR="00A233A1" w:rsidRDefault="0008082D">
            <w:r>
              <w:t>0</w:t>
            </w:r>
          </w:p>
        </w:tc>
        <w:tc>
          <w:tcPr>
            <w:tcW w:w="3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AA914B5" w14:textId="77777777" w:rsidR="00A233A1" w:rsidRDefault="0008082D">
            <w:r>
              <w:t>Canonical ontology</w:t>
            </w:r>
          </w:p>
        </w:tc>
        <w:tc>
          <w:tcPr>
            <w:tcW w:w="42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AA914B6" w14:textId="77777777" w:rsidR="00A233A1" w:rsidRDefault="0008082D">
            <w:r>
              <w:t>Agreed conceptual model / vocabulary</w:t>
            </w:r>
          </w:p>
        </w:tc>
      </w:tr>
      <w:tr w:rsidR="00A233A1" w14:paraId="2AA914BB" w14:textId="77777777">
        <w:tc>
          <w:tcPr>
            <w:tcW w:w="1400" w:type="dxa"/>
            <w:tcBorders>
              <w:top w:val="single" w:sz="1" w:space="0" w:color="BFBFBF"/>
              <w:left w:val="single" w:sz="1" w:space="0" w:color="BFBFBF"/>
              <w:bottom w:val="single" w:sz="1" w:space="0" w:color="BFBFBF"/>
              <w:right w:val="single" w:sz="1" w:space="0" w:color="BFBFBF"/>
            </w:tcBorders>
            <w:shd w:val="clear" w:color="auto" w:fill="EAF0FA"/>
            <w:tcMar>
              <w:top w:w="80" w:type="dxa"/>
              <w:left w:w="120" w:type="dxa"/>
              <w:bottom w:w="80" w:type="dxa"/>
              <w:right w:w="120" w:type="dxa"/>
            </w:tcMar>
          </w:tcPr>
          <w:p w14:paraId="2AA914B8" w14:textId="77777777" w:rsidR="00A233A1" w:rsidRDefault="0008082D">
            <w:r>
              <w:t>1</w:t>
            </w:r>
          </w:p>
        </w:tc>
        <w:tc>
          <w:tcPr>
            <w:tcW w:w="3700" w:type="dxa"/>
            <w:tcBorders>
              <w:top w:val="single" w:sz="1" w:space="0" w:color="BFBFBF"/>
              <w:left w:val="single" w:sz="1" w:space="0" w:color="BFBFBF"/>
              <w:bottom w:val="single" w:sz="1" w:space="0" w:color="BFBFBF"/>
              <w:right w:val="single" w:sz="1" w:space="0" w:color="BFBFBF"/>
            </w:tcBorders>
            <w:shd w:val="clear" w:color="auto" w:fill="EAF0FA"/>
            <w:tcMar>
              <w:top w:w="80" w:type="dxa"/>
              <w:left w:w="120" w:type="dxa"/>
              <w:bottom w:w="80" w:type="dxa"/>
              <w:right w:w="120" w:type="dxa"/>
            </w:tcMar>
          </w:tcPr>
          <w:p w14:paraId="2AA914B9" w14:textId="77777777" w:rsidR="00A233A1" w:rsidRDefault="0008082D">
            <w:r>
              <w:t>Inferential + computational guides</w:t>
            </w:r>
          </w:p>
        </w:tc>
        <w:tc>
          <w:tcPr>
            <w:tcW w:w="4260" w:type="dxa"/>
            <w:tcBorders>
              <w:top w:val="single" w:sz="1" w:space="0" w:color="BFBFBF"/>
              <w:left w:val="single" w:sz="1" w:space="0" w:color="BFBFBF"/>
              <w:bottom w:val="single" w:sz="1" w:space="0" w:color="BFBFBF"/>
              <w:right w:val="single" w:sz="1" w:space="0" w:color="BFBFBF"/>
            </w:tcBorders>
            <w:shd w:val="clear" w:color="auto" w:fill="EAF0FA"/>
            <w:tcMar>
              <w:top w:w="80" w:type="dxa"/>
              <w:left w:w="120" w:type="dxa"/>
              <w:bottom w:w="80" w:type="dxa"/>
              <w:right w:w="120" w:type="dxa"/>
            </w:tcMar>
          </w:tcPr>
          <w:p w14:paraId="2AA914BA" w14:textId="77777777" w:rsidR="00A233A1" w:rsidRDefault="0008082D">
            <w:r>
              <w:t>The working harness</w:t>
            </w:r>
          </w:p>
        </w:tc>
      </w:tr>
      <w:tr w:rsidR="00A233A1" w14:paraId="2AA914BF" w14:textId="77777777">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AA914BC" w14:textId="77777777" w:rsidR="00A233A1" w:rsidRDefault="0008082D">
            <w:r>
              <w:t>2</w:t>
            </w:r>
          </w:p>
        </w:tc>
        <w:tc>
          <w:tcPr>
            <w:tcW w:w="3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AA914BD" w14:textId="77777777" w:rsidR="00A233A1" w:rsidRDefault="0008082D">
            <w:r>
              <w:t>Before/after demo + sensor</w:t>
            </w:r>
          </w:p>
        </w:tc>
        <w:tc>
          <w:tcPr>
            <w:tcW w:w="42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AA914BE" w14:textId="77777777" w:rsidR="00A233A1" w:rsidRDefault="0008082D">
            <w:r>
              <w:t>Proof, with hard numbers</w:t>
            </w:r>
          </w:p>
        </w:tc>
      </w:tr>
      <w:tr w:rsidR="00A233A1" w14:paraId="2AA914C3" w14:textId="77777777">
        <w:tc>
          <w:tcPr>
            <w:tcW w:w="1400" w:type="dxa"/>
            <w:tcBorders>
              <w:top w:val="single" w:sz="1" w:space="0" w:color="BFBFBF"/>
              <w:left w:val="single" w:sz="1" w:space="0" w:color="BFBFBF"/>
              <w:bottom w:val="single" w:sz="1" w:space="0" w:color="BFBFBF"/>
              <w:right w:val="single" w:sz="1" w:space="0" w:color="BFBFBF"/>
            </w:tcBorders>
            <w:shd w:val="clear" w:color="auto" w:fill="EAF0FA"/>
            <w:tcMar>
              <w:top w:w="80" w:type="dxa"/>
              <w:left w:w="120" w:type="dxa"/>
              <w:bottom w:w="80" w:type="dxa"/>
              <w:right w:w="120" w:type="dxa"/>
            </w:tcMar>
          </w:tcPr>
          <w:p w14:paraId="2AA914C0" w14:textId="77777777" w:rsidR="00A233A1" w:rsidRDefault="0008082D">
            <w:r>
              <w:t>3</w:t>
            </w:r>
          </w:p>
        </w:tc>
        <w:tc>
          <w:tcPr>
            <w:tcW w:w="3700" w:type="dxa"/>
            <w:tcBorders>
              <w:top w:val="single" w:sz="1" w:space="0" w:color="BFBFBF"/>
              <w:left w:val="single" w:sz="1" w:space="0" w:color="BFBFBF"/>
              <w:bottom w:val="single" w:sz="1" w:space="0" w:color="BFBFBF"/>
              <w:right w:val="single" w:sz="1" w:space="0" w:color="BFBFBF"/>
            </w:tcBorders>
            <w:shd w:val="clear" w:color="auto" w:fill="EAF0FA"/>
            <w:tcMar>
              <w:top w:w="80" w:type="dxa"/>
              <w:left w:w="120" w:type="dxa"/>
              <w:bottom w:w="80" w:type="dxa"/>
              <w:right w:w="120" w:type="dxa"/>
            </w:tcMar>
          </w:tcPr>
          <w:p w14:paraId="2AA914C1" w14:textId="77777777" w:rsidR="00A233A1" w:rsidRDefault="0008082D">
            <w:r>
              <w:t>All vendors, CI sensor</w:t>
            </w:r>
          </w:p>
        </w:tc>
        <w:tc>
          <w:tcPr>
            <w:tcW w:w="4260" w:type="dxa"/>
            <w:tcBorders>
              <w:top w:val="single" w:sz="1" w:space="0" w:color="BFBFBF"/>
              <w:left w:val="single" w:sz="1" w:space="0" w:color="BFBFBF"/>
              <w:bottom w:val="single" w:sz="1" w:space="0" w:color="BFBFBF"/>
              <w:right w:val="single" w:sz="1" w:space="0" w:color="BFBFBF"/>
            </w:tcBorders>
            <w:shd w:val="clear" w:color="auto" w:fill="EAF0FA"/>
            <w:tcMar>
              <w:top w:w="80" w:type="dxa"/>
              <w:left w:w="120" w:type="dxa"/>
              <w:bottom w:w="80" w:type="dxa"/>
              <w:right w:w="120" w:type="dxa"/>
            </w:tcMar>
          </w:tcPr>
          <w:p w14:paraId="2AA914C2" w14:textId="77777777" w:rsidR="00A233A1" w:rsidRDefault="0008082D">
            <w:r>
              <w:t>Production-grade coverage</w:t>
            </w:r>
          </w:p>
        </w:tc>
      </w:tr>
      <w:tr w:rsidR="00A233A1" w14:paraId="2AA914C7" w14:textId="77777777">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AA914C4" w14:textId="77777777" w:rsidR="00A233A1" w:rsidRDefault="0008082D">
            <w:r>
              <w:t>4</w:t>
            </w:r>
          </w:p>
        </w:tc>
        <w:tc>
          <w:tcPr>
            <w:tcW w:w="3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AA914C5" w14:textId="77777777" w:rsidR="00A233A1" w:rsidRDefault="0008082D">
            <w:r>
              <w:t>Generalise to a framework</w:t>
            </w:r>
          </w:p>
        </w:tc>
        <w:tc>
          <w:tcPr>
            <w:tcW w:w="42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AA914C6" w14:textId="77777777" w:rsidR="00A233A1" w:rsidRDefault="0008082D">
            <w:r>
              <w:t>Reusable across domains</w:t>
            </w:r>
          </w:p>
        </w:tc>
      </w:tr>
    </w:tbl>
    <w:p w14:paraId="2AA914C8" w14:textId="77777777" w:rsidR="00A233A1" w:rsidRDefault="0008082D">
      <w:r>
        <w:br w:type="page"/>
      </w:r>
    </w:p>
    <w:p w14:paraId="2AA914C9" w14:textId="77777777" w:rsidR="00A233A1" w:rsidRDefault="0008082D">
      <w:pPr>
        <w:pStyle w:val="Heading1"/>
      </w:pPr>
      <w:r>
        <w:lastRenderedPageBreak/>
        <w:t>7. Design &amp; High-Level Architecture</w:t>
      </w:r>
    </w:p>
    <w:p w14:paraId="2AA914CA" w14:textId="77777777" w:rsidR="00A233A1" w:rsidRDefault="0008082D">
      <w:pPr>
        <w:spacing w:after="160" w:line="276" w:lineRule="auto"/>
        <w:jc w:val="both"/>
      </w:pPr>
      <w:r>
        <w:t>Lexicon sits between the coding agent and the codebase as a harness with two feedforward guides and one feedback sensor, all anchored on a single canonical ontology. Everything flows from that ontology; nothing else defines domain meaning.</w:t>
      </w:r>
    </w:p>
    <w:p w14:paraId="2AA914CB" w14:textId="77777777" w:rsidR="00A233A1" w:rsidRDefault="0008082D">
      <w:pPr>
        <w:pStyle w:val="Heading2"/>
      </w:pPr>
      <w:r>
        <w:t>7.1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A233A1" w14:paraId="2AA914CE" w14:textId="77777777">
        <w:trPr>
          <w:tblHeader/>
        </w:trPr>
        <w:tc>
          <w:tcPr>
            <w:tcW w:w="2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2AA914CC" w14:textId="77777777" w:rsidR="00A233A1" w:rsidRDefault="0008082D">
            <w:r>
              <w:rPr>
                <w:b/>
                <w:bCs/>
                <w:color w:val="FFFFFF"/>
              </w:rPr>
              <w:t>Component</w:t>
            </w:r>
          </w:p>
        </w:tc>
        <w:tc>
          <w:tcPr>
            <w:tcW w:w="68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2AA914CD" w14:textId="77777777" w:rsidR="00A233A1" w:rsidRDefault="0008082D">
            <w:r>
              <w:rPr>
                <w:b/>
                <w:bCs/>
                <w:color w:val="FFFFFF"/>
              </w:rPr>
              <w:t>Responsibility</w:t>
            </w:r>
          </w:p>
        </w:tc>
      </w:tr>
      <w:tr w:rsidR="00A233A1" w14:paraId="2AA914D1" w14:textId="77777777">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AA914CF" w14:textId="77777777" w:rsidR="00A233A1" w:rsidRDefault="0008082D">
            <w:r>
              <w:t>Canonical Ontology</w:t>
            </w:r>
          </w:p>
        </w:tc>
        <w:tc>
          <w:tcPr>
            <w:tcW w:w="6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AA914D0" w14:textId="77777777" w:rsidR="00A233A1" w:rsidRDefault="0008082D">
            <w:r>
              <w:t>Single source of truth: concept definitions, formulas, and the vendor dialect map.</w:t>
            </w:r>
          </w:p>
        </w:tc>
      </w:tr>
      <w:tr w:rsidR="00A233A1" w14:paraId="2AA914D4" w14:textId="77777777">
        <w:tc>
          <w:tcPr>
            <w:tcW w:w="2500" w:type="dxa"/>
            <w:tcBorders>
              <w:top w:val="single" w:sz="1" w:space="0" w:color="BFBFBF"/>
              <w:left w:val="single" w:sz="1" w:space="0" w:color="BFBFBF"/>
              <w:bottom w:val="single" w:sz="1" w:space="0" w:color="BFBFBF"/>
              <w:right w:val="single" w:sz="1" w:space="0" w:color="BFBFBF"/>
            </w:tcBorders>
            <w:shd w:val="clear" w:color="auto" w:fill="EAF0FA"/>
            <w:tcMar>
              <w:top w:w="80" w:type="dxa"/>
              <w:left w:w="120" w:type="dxa"/>
              <w:bottom w:w="80" w:type="dxa"/>
              <w:right w:w="120" w:type="dxa"/>
            </w:tcMar>
          </w:tcPr>
          <w:p w14:paraId="2AA914D2" w14:textId="77777777" w:rsidR="00A233A1" w:rsidRDefault="0008082D">
            <w:r>
              <w:t>Inferential Guide</w:t>
            </w:r>
          </w:p>
        </w:tc>
        <w:tc>
          <w:tcPr>
            <w:tcW w:w="6860" w:type="dxa"/>
            <w:tcBorders>
              <w:top w:val="single" w:sz="1" w:space="0" w:color="BFBFBF"/>
              <w:left w:val="single" w:sz="1" w:space="0" w:color="BFBFBF"/>
              <w:bottom w:val="single" w:sz="1" w:space="0" w:color="BFBFBF"/>
              <w:right w:val="single" w:sz="1" w:space="0" w:color="BFBFBF"/>
            </w:tcBorders>
            <w:shd w:val="clear" w:color="auto" w:fill="EAF0FA"/>
            <w:tcMar>
              <w:top w:w="80" w:type="dxa"/>
              <w:left w:w="120" w:type="dxa"/>
              <w:bottom w:w="80" w:type="dxa"/>
              <w:right w:w="120" w:type="dxa"/>
            </w:tcMar>
          </w:tcPr>
          <w:p w14:paraId="2AA914D3" w14:textId="77777777" w:rsidR="00A233A1" w:rsidRDefault="0008082D">
            <w:r>
              <w:t>Markdown glossary/skill files generated from the ontology; read by the agent before coding.</w:t>
            </w:r>
          </w:p>
        </w:tc>
      </w:tr>
      <w:tr w:rsidR="00A233A1" w14:paraId="2AA914D7" w14:textId="77777777">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AA914D5" w14:textId="77777777" w:rsidR="00A233A1" w:rsidRDefault="0008082D">
            <w:r>
              <w:t>Computational Guide</w:t>
            </w:r>
          </w:p>
        </w:tc>
        <w:tc>
          <w:tcPr>
            <w:tcW w:w="6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AA914D6" w14:textId="77777777" w:rsidR="00A233A1" w:rsidRDefault="0008082D">
            <w:r>
              <w:t>Canonical schema + contract tests + golden vendor payloads; the agent’s output must pass.</w:t>
            </w:r>
          </w:p>
        </w:tc>
      </w:tr>
      <w:tr w:rsidR="00A233A1" w14:paraId="2AA914DA" w14:textId="77777777">
        <w:tc>
          <w:tcPr>
            <w:tcW w:w="2500" w:type="dxa"/>
            <w:tcBorders>
              <w:top w:val="single" w:sz="1" w:space="0" w:color="BFBFBF"/>
              <w:left w:val="single" w:sz="1" w:space="0" w:color="BFBFBF"/>
              <w:bottom w:val="single" w:sz="1" w:space="0" w:color="BFBFBF"/>
              <w:right w:val="single" w:sz="1" w:space="0" w:color="BFBFBF"/>
            </w:tcBorders>
            <w:shd w:val="clear" w:color="auto" w:fill="EAF0FA"/>
            <w:tcMar>
              <w:top w:w="80" w:type="dxa"/>
              <w:left w:w="120" w:type="dxa"/>
              <w:bottom w:w="80" w:type="dxa"/>
              <w:right w:w="120" w:type="dxa"/>
            </w:tcMar>
          </w:tcPr>
          <w:p w14:paraId="2AA914D8" w14:textId="77777777" w:rsidR="00A233A1" w:rsidRDefault="0008082D">
            <w:r>
              <w:t>Ubiquitous Language Sensor</w:t>
            </w:r>
          </w:p>
        </w:tc>
        <w:tc>
          <w:tcPr>
            <w:tcW w:w="6860" w:type="dxa"/>
            <w:tcBorders>
              <w:top w:val="single" w:sz="1" w:space="0" w:color="BFBFBF"/>
              <w:left w:val="single" w:sz="1" w:space="0" w:color="BFBFBF"/>
              <w:bottom w:val="single" w:sz="1" w:space="0" w:color="BFBFBF"/>
              <w:right w:val="single" w:sz="1" w:space="0" w:color="BFBFBF"/>
            </w:tcBorders>
            <w:shd w:val="clear" w:color="auto" w:fill="EAF0FA"/>
            <w:tcMar>
              <w:top w:w="80" w:type="dxa"/>
              <w:left w:w="120" w:type="dxa"/>
              <w:bottom w:w="80" w:type="dxa"/>
              <w:right w:w="120" w:type="dxa"/>
            </w:tcMar>
          </w:tcPr>
          <w:p w14:paraId="2AA914D9" w14:textId="77777777" w:rsidR="00A233A1" w:rsidRDefault="0008082D">
            <w:r>
              <w:t>Scans commits/PRs for vocabulary drift; reports and proposes ontology updates.</w:t>
            </w:r>
          </w:p>
        </w:tc>
      </w:tr>
      <w:tr w:rsidR="00A233A1" w14:paraId="2AA914DD" w14:textId="77777777">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AA914DB" w14:textId="77777777" w:rsidR="00A233A1" w:rsidRDefault="0008082D">
            <w:r>
              <w:t>Adapters</w:t>
            </w:r>
          </w:p>
        </w:tc>
        <w:tc>
          <w:tcPr>
            <w:tcW w:w="6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AA914DC" w14:textId="77777777" w:rsidR="00A233A1" w:rsidRDefault="0008082D">
            <w:r>
              <w:t>Per-vendor code that maps a vendor feed into the canonical model — what the agent writes.</w:t>
            </w:r>
          </w:p>
        </w:tc>
      </w:tr>
    </w:tbl>
    <w:p w14:paraId="2AA914DE" w14:textId="77777777" w:rsidR="00A233A1" w:rsidRDefault="0008082D">
      <w:pPr>
        <w:pStyle w:val="Heading2"/>
      </w:pPr>
      <w:r>
        <w:t>7.2 How a new integration flows</w:t>
      </w:r>
    </w:p>
    <w:p w14:paraId="2AA914DF" w14:textId="77777777" w:rsidR="00A233A1" w:rsidRDefault="0008082D">
      <w:pPr>
        <w:pStyle w:val="ListParagraph"/>
        <w:numPr>
          <w:ilvl w:val="0"/>
          <w:numId w:val="4"/>
        </w:numPr>
        <w:spacing w:after="80" w:line="264" w:lineRule="auto"/>
      </w:pPr>
      <w:r>
        <w:t>The engineer asks the agent to integrate a vendor feed into the canonical model.</w:t>
      </w:r>
    </w:p>
    <w:p w14:paraId="2AA914E0" w14:textId="77777777" w:rsidR="00A233A1" w:rsidRDefault="0008082D">
      <w:pPr>
        <w:pStyle w:val="ListParagraph"/>
        <w:numPr>
          <w:ilvl w:val="0"/>
          <w:numId w:val="4"/>
        </w:numPr>
        <w:spacing w:after="80" w:line="264" w:lineRule="auto"/>
      </w:pPr>
      <w:r>
        <w:t>The agent reads the inferential guide — the canonical vocabulary and that vendor’s dialect map — so it knows, for example, that this vendor’s “utilization” is not our “occupancy.”</w:t>
      </w:r>
    </w:p>
    <w:p w14:paraId="2AA914E1" w14:textId="77777777" w:rsidR="00A233A1" w:rsidRDefault="0008082D">
      <w:pPr>
        <w:pStyle w:val="ListParagraph"/>
        <w:numPr>
          <w:ilvl w:val="0"/>
          <w:numId w:val="4"/>
        </w:numPr>
        <w:spacing w:after="80" w:line="264" w:lineRule="auto"/>
      </w:pPr>
      <w:r>
        <w:t>The agent writes the adapter, coding in the canonical vocabulary rather than the vendor’s.</w:t>
      </w:r>
    </w:p>
    <w:p w14:paraId="2AA914E2" w14:textId="77777777" w:rsidR="00A233A1" w:rsidRDefault="0008082D">
      <w:pPr>
        <w:pStyle w:val="ListParagraph"/>
        <w:numPr>
          <w:ilvl w:val="0"/>
          <w:numId w:val="4"/>
        </w:numPr>
        <w:spacing w:after="80" w:line="264" w:lineRule="auto"/>
      </w:pPr>
      <w:r>
        <w:t>The computational guide runs contract tests against golden payloads; a mistranslation fails the build deterministically, and the agent corrects it.</w:t>
      </w:r>
    </w:p>
    <w:p w14:paraId="2AA914E3" w14:textId="77777777" w:rsidR="00A233A1" w:rsidRDefault="0008082D">
      <w:pPr>
        <w:pStyle w:val="ListParagraph"/>
        <w:numPr>
          <w:ilvl w:val="0"/>
          <w:numId w:val="4"/>
        </w:numPr>
        <w:spacing w:after="80" w:line="264" w:lineRule="auto"/>
      </w:pPr>
      <w:r>
        <w:t>On the pull request, the Ubiquitous Language Sensor checks for drift — undefined terms, duplicate names, vendor jargon crossing the boundary.</w:t>
      </w:r>
    </w:p>
    <w:p w14:paraId="2AA914E4" w14:textId="77777777" w:rsidR="00A233A1" w:rsidRDefault="0008082D">
      <w:pPr>
        <w:pStyle w:val="ListParagraph"/>
        <w:numPr>
          <w:ilvl w:val="0"/>
          <w:numId w:val="4"/>
        </w:numPr>
        <w:spacing w:after="80" w:line="264" w:lineRule="auto"/>
      </w:pPr>
      <w:r>
        <w:t>Merged code is guaranteed to speak the ubiquitous language; anything the sensor learns feeds back into the ontology.</w:t>
      </w:r>
    </w:p>
    <w:p w14:paraId="6825E863" w14:textId="77777777" w:rsidR="002D03F2" w:rsidRDefault="002D03F2" w:rsidP="002D03F2">
      <w:pPr>
        <w:spacing w:after="80" w:line="264" w:lineRule="auto"/>
      </w:pPr>
    </w:p>
    <w:p w14:paraId="5F506444" w14:textId="77777777" w:rsidR="002D03F2" w:rsidRDefault="002D03F2" w:rsidP="002D03F2">
      <w:pPr>
        <w:spacing w:after="80" w:line="264" w:lineRule="auto"/>
      </w:pPr>
    </w:p>
    <w:p w14:paraId="2E3BBAA3" w14:textId="77777777" w:rsidR="002D03F2" w:rsidRDefault="002D03F2" w:rsidP="002D03F2">
      <w:pPr>
        <w:spacing w:after="80" w:line="264" w:lineRule="auto"/>
      </w:pPr>
    </w:p>
    <w:p w14:paraId="2A77A9FA" w14:textId="77777777" w:rsidR="002D03F2" w:rsidRDefault="002D03F2" w:rsidP="002D03F2">
      <w:pPr>
        <w:spacing w:after="80" w:line="264" w:lineRule="auto"/>
      </w:pPr>
    </w:p>
    <w:p w14:paraId="3800A8DB" w14:textId="77777777" w:rsidR="002D03F2" w:rsidRDefault="002D03F2" w:rsidP="002D03F2">
      <w:pPr>
        <w:spacing w:after="80" w:line="264" w:lineRule="auto"/>
      </w:pPr>
    </w:p>
    <w:p w14:paraId="0DF7895C" w14:textId="77777777" w:rsidR="002D03F2" w:rsidRDefault="002D03F2" w:rsidP="002D03F2">
      <w:pPr>
        <w:spacing w:after="80" w:line="264" w:lineRule="auto"/>
      </w:pPr>
    </w:p>
    <w:p w14:paraId="5295F0A1" w14:textId="77777777" w:rsidR="002D03F2" w:rsidRDefault="002D03F2" w:rsidP="002D03F2">
      <w:pPr>
        <w:spacing w:after="80" w:line="264" w:lineRule="auto"/>
      </w:pPr>
    </w:p>
    <w:p w14:paraId="0ED866D4" w14:textId="77777777" w:rsidR="002D03F2" w:rsidRDefault="002D03F2" w:rsidP="002D03F2">
      <w:pPr>
        <w:spacing w:after="80" w:line="264" w:lineRule="auto"/>
      </w:pPr>
    </w:p>
    <w:p w14:paraId="2AA914E5" w14:textId="77777777" w:rsidR="00A233A1" w:rsidRDefault="0008082D">
      <w:pPr>
        <w:pStyle w:val="Heading2"/>
      </w:pPr>
      <w:r>
        <w:lastRenderedPageBreak/>
        <w:t>7.3 Architecture diagram</w:t>
      </w:r>
    </w:p>
    <w:p w14:paraId="2AA914E6" w14:textId="77777777" w:rsidR="00A233A1" w:rsidRDefault="0008082D">
      <w:pPr>
        <w:shd w:val="clear" w:color="auto" w:fill="EAF0FA"/>
      </w:pPr>
      <w:r>
        <w:rPr>
          <w:rFonts w:ascii="Consolas" w:eastAsia="Consolas" w:hAnsi="Consolas" w:cs="Consolas"/>
          <w:color w:val="333333"/>
          <w:sz w:val="18"/>
          <w:szCs w:val="18"/>
        </w:rPr>
        <w:t xml:space="preserve">                    ┌───────────────────────────┐</w:t>
      </w:r>
    </w:p>
    <w:p w14:paraId="2AA914E7" w14:textId="77777777" w:rsidR="00A233A1" w:rsidRDefault="0008082D">
      <w:pPr>
        <w:shd w:val="clear" w:color="auto" w:fill="EAF0FA"/>
      </w:pPr>
      <w:r>
        <w:rPr>
          <w:rFonts w:ascii="Consolas" w:eastAsia="Consolas" w:hAnsi="Consolas" w:cs="Consolas"/>
          <w:color w:val="333333"/>
          <w:sz w:val="18"/>
          <w:szCs w:val="18"/>
        </w:rPr>
        <w:t xml:space="preserve">                    │   CANONICAL ONTOLOGY       │</w:t>
      </w:r>
    </w:p>
    <w:p w14:paraId="2AA914E8" w14:textId="77777777" w:rsidR="00A233A1" w:rsidRDefault="0008082D">
      <w:pPr>
        <w:shd w:val="clear" w:color="auto" w:fill="EAF0FA"/>
      </w:pPr>
      <w:r>
        <w:rPr>
          <w:rFonts w:ascii="Consolas" w:eastAsia="Consolas" w:hAnsi="Consolas" w:cs="Consolas"/>
          <w:color w:val="333333"/>
          <w:sz w:val="18"/>
          <w:szCs w:val="18"/>
        </w:rPr>
        <w:t xml:space="preserve">                    │  concepts · formulas ·     │</w:t>
      </w:r>
    </w:p>
    <w:p w14:paraId="2AA914E9" w14:textId="77777777" w:rsidR="00A233A1" w:rsidRDefault="0008082D">
      <w:pPr>
        <w:shd w:val="clear" w:color="auto" w:fill="EAF0FA"/>
      </w:pPr>
      <w:r>
        <w:rPr>
          <w:rFonts w:ascii="Consolas" w:eastAsia="Consolas" w:hAnsi="Consolas" w:cs="Consolas"/>
          <w:color w:val="333333"/>
          <w:sz w:val="18"/>
          <w:szCs w:val="18"/>
        </w:rPr>
        <w:t xml:space="preserve">                    │  vendor dialect map        │</w:t>
      </w:r>
    </w:p>
    <w:p w14:paraId="2AA914EA" w14:textId="77777777" w:rsidR="00A233A1" w:rsidRDefault="0008082D">
      <w:pPr>
        <w:shd w:val="clear" w:color="auto" w:fill="EAF0FA"/>
      </w:pPr>
      <w:r>
        <w:rPr>
          <w:rFonts w:ascii="Consolas" w:eastAsia="Consolas" w:hAnsi="Consolas" w:cs="Consolas"/>
          <w:color w:val="333333"/>
          <w:sz w:val="18"/>
          <w:szCs w:val="18"/>
        </w:rPr>
        <w:t xml:space="preserve">                    └─────────────┬──────────────┘</w:t>
      </w:r>
    </w:p>
    <w:p w14:paraId="2AA914EB" w14:textId="77777777" w:rsidR="00A233A1" w:rsidRDefault="0008082D">
      <w:pPr>
        <w:shd w:val="clear" w:color="auto" w:fill="EAF0FA"/>
      </w:pPr>
      <w:r>
        <w:rPr>
          <w:rFonts w:ascii="Consolas" w:eastAsia="Consolas" w:hAnsi="Consolas" w:cs="Consolas"/>
          <w:color w:val="333333"/>
          <w:sz w:val="18"/>
          <w:szCs w:val="18"/>
        </w:rPr>
        <w:t xml:space="preserve">        generates                 │            generates</w:t>
      </w:r>
    </w:p>
    <w:p w14:paraId="2AA914EC" w14:textId="77777777" w:rsidR="00A233A1" w:rsidRDefault="0008082D">
      <w:pPr>
        <w:shd w:val="clear" w:color="auto" w:fill="EAF0FA"/>
      </w:pPr>
      <w:r>
        <w:rPr>
          <w:rFonts w:ascii="Consolas" w:eastAsia="Consolas" w:hAnsi="Consolas" w:cs="Consolas"/>
          <w:color w:val="333333"/>
          <w:sz w:val="18"/>
          <w:szCs w:val="18"/>
        </w:rPr>
        <w:t xml:space="preserve">      ┌───────────────────────────┴───────────────────────┐</w:t>
      </w:r>
    </w:p>
    <w:p w14:paraId="2AA914ED" w14:textId="77777777" w:rsidR="00A233A1" w:rsidRDefault="0008082D">
      <w:pPr>
        <w:shd w:val="clear" w:color="auto" w:fill="EAF0FA"/>
      </w:pPr>
      <w:r>
        <w:rPr>
          <w:rFonts w:ascii="Consolas" w:eastAsia="Consolas" w:hAnsi="Consolas" w:cs="Consolas"/>
          <w:color w:val="333333"/>
          <w:sz w:val="18"/>
          <w:szCs w:val="18"/>
        </w:rPr>
        <w:t xml:space="preserve">      ▼                                                     ▼</w:t>
      </w:r>
    </w:p>
    <w:p w14:paraId="2AA914EE" w14:textId="77777777" w:rsidR="00A233A1" w:rsidRDefault="0008082D">
      <w:pPr>
        <w:shd w:val="clear" w:color="auto" w:fill="EAF0FA"/>
      </w:pPr>
      <w:r>
        <w:rPr>
          <w:rFonts w:ascii="Consolas" w:eastAsia="Consolas" w:hAnsi="Consolas" w:cs="Consolas"/>
          <w:color w:val="333333"/>
          <w:sz w:val="18"/>
          <w:szCs w:val="18"/>
        </w:rPr>
        <w:t>┌──────────────────┐                          ┌──────────────────────┐</w:t>
      </w:r>
    </w:p>
    <w:p w14:paraId="2AA914EF" w14:textId="77777777" w:rsidR="00A233A1" w:rsidRDefault="0008082D">
      <w:pPr>
        <w:shd w:val="clear" w:color="auto" w:fill="EAF0FA"/>
      </w:pPr>
      <w:r>
        <w:rPr>
          <w:rFonts w:ascii="Consolas" w:eastAsia="Consolas" w:hAnsi="Consolas" w:cs="Consolas"/>
          <w:color w:val="333333"/>
          <w:sz w:val="18"/>
          <w:szCs w:val="18"/>
        </w:rPr>
        <w:t>│ INFERENTIAL GUIDE │  ── feedforward ──►      │ COMPUTATIONAL GUIDE   │</w:t>
      </w:r>
    </w:p>
    <w:p w14:paraId="2AA914F0" w14:textId="77777777" w:rsidR="00A233A1" w:rsidRDefault="0008082D">
      <w:pPr>
        <w:shd w:val="clear" w:color="auto" w:fill="EAF0FA"/>
      </w:pPr>
      <w:r>
        <w:rPr>
          <w:rFonts w:ascii="Consolas" w:eastAsia="Consolas" w:hAnsi="Consolas" w:cs="Consolas"/>
          <w:color w:val="333333"/>
          <w:sz w:val="18"/>
          <w:szCs w:val="18"/>
        </w:rPr>
        <w:t>│ MD glossary/skills│                          │ schema · contract     │</w:t>
      </w:r>
    </w:p>
    <w:p w14:paraId="2AA914F1" w14:textId="77777777" w:rsidR="00A233A1" w:rsidRDefault="0008082D">
      <w:pPr>
        <w:shd w:val="clear" w:color="auto" w:fill="EAF0FA"/>
      </w:pPr>
      <w:r>
        <w:rPr>
          <w:rFonts w:ascii="Consolas" w:eastAsia="Consolas" w:hAnsi="Consolas" w:cs="Consolas"/>
          <w:color w:val="333333"/>
          <w:sz w:val="18"/>
          <w:szCs w:val="18"/>
        </w:rPr>
        <w:t>│ (agent reads)     │                          │ tests · golden payloads│</w:t>
      </w:r>
    </w:p>
    <w:p w14:paraId="2AA914F2" w14:textId="77777777" w:rsidR="00A233A1" w:rsidRDefault="0008082D">
      <w:pPr>
        <w:shd w:val="clear" w:color="auto" w:fill="EAF0FA"/>
      </w:pPr>
      <w:r>
        <w:rPr>
          <w:rFonts w:ascii="Consolas" w:eastAsia="Consolas" w:hAnsi="Consolas" w:cs="Consolas"/>
          <w:color w:val="333333"/>
          <w:sz w:val="18"/>
          <w:szCs w:val="18"/>
        </w:rPr>
        <w:t>└─────────┬─────────┘                          └───────────┬──────────┘</w:t>
      </w:r>
    </w:p>
    <w:p w14:paraId="2AA914F3" w14:textId="77777777" w:rsidR="00A233A1" w:rsidRDefault="0008082D">
      <w:pPr>
        <w:shd w:val="clear" w:color="auto" w:fill="EAF0FA"/>
      </w:pPr>
      <w:r>
        <w:rPr>
          <w:rFonts w:ascii="Consolas" w:eastAsia="Consolas" w:hAnsi="Consolas" w:cs="Consolas"/>
          <w:color w:val="333333"/>
          <w:sz w:val="18"/>
          <w:szCs w:val="18"/>
        </w:rPr>
        <w:t xml:space="preserve">          │            ┌───────────────┐                   │</w:t>
      </w:r>
    </w:p>
    <w:p w14:paraId="2AA914F4" w14:textId="77777777" w:rsidR="00A233A1" w:rsidRDefault="0008082D">
      <w:pPr>
        <w:shd w:val="clear" w:color="auto" w:fill="EAF0FA"/>
      </w:pPr>
      <w:r>
        <w:rPr>
          <w:rFonts w:ascii="Consolas" w:eastAsia="Consolas" w:hAnsi="Consolas" w:cs="Consolas"/>
          <w:color w:val="333333"/>
          <w:sz w:val="18"/>
          <w:szCs w:val="18"/>
        </w:rPr>
        <w:t xml:space="preserve">          └──steers───► │ CODING AGENT   │ ◄──must pass──────┘</w:t>
      </w:r>
    </w:p>
    <w:p w14:paraId="2AA914F5" w14:textId="77777777" w:rsidR="00A233A1" w:rsidRDefault="0008082D">
      <w:pPr>
        <w:shd w:val="clear" w:color="auto" w:fill="EAF0FA"/>
      </w:pPr>
      <w:r>
        <w:rPr>
          <w:rFonts w:ascii="Consolas" w:eastAsia="Consolas" w:hAnsi="Consolas" w:cs="Consolas"/>
          <w:color w:val="333333"/>
          <w:sz w:val="18"/>
          <w:szCs w:val="18"/>
        </w:rPr>
        <w:t xml:space="preserve">                        │ writes adapter │</w:t>
      </w:r>
    </w:p>
    <w:p w14:paraId="2AA914F6" w14:textId="77777777" w:rsidR="00A233A1" w:rsidRDefault="0008082D">
      <w:pPr>
        <w:shd w:val="clear" w:color="auto" w:fill="EAF0FA"/>
      </w:pPr>
      <w:r>
        <w:rPr>
          <w:rFonts w:ascii="Consolas" w:eastAsia="Consolas" w:hAnsi="Consolas" w:cs="Consolas"/>
          <w:color w:val="333333"/>
          <w:sz w:val="18"/>
          <w:szCs w:val="18"/>
        </w:rPr>
        <w:t xml:space="preserve">                        └───────┬────────┘</w:t>
      </w:r>
    </w:p>
    <w:p w14:paraId="2AA914F7" w14:textId="77777777" w:rsidR="00A233A1" w:rsidRDefault="0008082D">
      <w:pPr>
        <w:shd w:val="clear" w:color="auto" w:fill="EAF0FA"/>
      </w:pPr>
      <w:r>
        <w:rPr>
          <w:rFonts w:ascii="Consolas" w:eastAsia="Consolas" w:hAnsi="Consolas" w:cs="Consolas"/>
          <w:color w:val="333333"/>
          <w:sz w:val="18"/>
          <w:szCs w:val="18"/>
        </w:rPr>
        <w:t xml:space="preserve">                                ▼</w:t>
      </w:r>
    </w:p>
    <w:p w14:paraId="2AA914F8" w14:textId="77777777" w:rsidR="00A233A1" w:rsidRDefault="0008082D">
      <w:pPr>
        <w:shd w:val="clear" w:color="auto" w:fill="EAF0FA"/>
      </w:pPr>
      <w:r>
        <w:rPr>
          <w:rFonts w:ascii="Consolas" w:eastAsia="Consolas" w:hAnsi="Consolas" w:cs="Consolas"/>
          <w:color w:val="333333"/>
          <w:sz w:val="18"/>
          <w:szCs w:val="18"/>
        </w:rPr>
        <w:t xml:space="preserve">                     Pull request / commit</w:t>
      </w:r>
    </w:p>
    <w:p w14:paraId="2AA914F9" w14:textId="77777777" w:rsidR="00A233A1" w:rsidRDefault="0008082D">
      <w:pPr>
        <w:shd w:val="clear" w:color="auto" w:fill="EAF0FA"/>
      </w:pPr>
      <w:r>
        <w:rPr>
          <w:rFonts w:ascii="Consolas" w:eastAsia="Consolas" w:hAnsi="Consolas" w:cs="Consolas"/>
          <w:color w:val="333333"/>
          <w:sz w:val="18"/>
          <w:szCs w:val="18"/>
        </w:rPr>
        <w:t xml:space="preserve">                                ▼</w:t>
      </w:r>
    </w:p>
    <w:p w14:paraId="2AA914FA" w14:textId="77777777" w:rsidR="00A233A1" w:rsidRDefault="0008082D">
      <w:pPr>
        <w:shd w:val="clear" w:color="auto" w:fill="EAF0FA"/>
      </w:pPr>
      <w:r>
        <w:rPr>
          <w:rFonts w:ascii="Consolas" w:eastAsia="Consolas" w:hAnsi="Consolas" w:cs="Consolas"/>
          <w:color w:val="333333"/>
          <w:sz w:val="18"/>
          <w:szCs w:val="18"/>
        </w:rPr>
        <w:t xml:space="preserve">              ┌──────────────────────────────────┐</w:t>
      </w:r>
    </w:p>
    <w:p w14:paraId="2AA914FB" w14:textId="77777777" w:rsidR="00A233A1" w:rsidRDefault="0008082D">
      <w:pPr>
        <w:shd w:val="clear" w:color="auto" w:fill="EAF0FA"/>
      </w:pPr>
      <w:r>
        <w:rPr>
          <w:rFonts w:ascii="Consolas" w:eastAsia="Consolas" w:hAnsi="Consolas" w:cs="Consolas"/>
          <w:color w:val="333333"/>
          <w:sz w:val="18"/>
          <w:szCs w:val="18"/>
        </w:rPr>
        <w:t xml:space="preserve">              │ UBIQUITOUS LANGUAGE SENSOR (feedback)│</w:t>
      </w:r>
    </w:p>
    <w:p w14:paraId="2AA914FC" w14:textId="77777777" w:rsidR="00A233A1" w:rsidRDefault="0008082D">
      <w:pPr>
        <w:shd w:val="clear" w:color="auto" w:fill="EAF0FA"/>
      </w:pPr>
      <w:r>
        <w:rPr>
          <w:rFonts w:ascii="Consolas" w:eastAsia="Consolas" w:hAnsi="Consolas" w:cs="Consolas"/>
          <w:color w:val="333333"/>
          <w:sz w:val="18"/>
          <w:szCs w:val="18"/>
        </w:rPr>
        <w:t xml:space="preserve">              │ detects drift → proposes ontology fix│</w:t>
      </w:r>
    </w:p>
    <w:p w14:paraId="2AA914FD" w14:textId="77777777" w:rsidR="00A233A1" w:rsidRDefault="0008082D">
      <w:pPr>
        <w:shd w:val="clear" w:color="auto" w:fill="EAF0FA"/>
      </w:pPr>
      <w:r>
        <w:rPr>
          <w:rFonts w:ascii="Consolas" w:eastAsia="Consolas" w:hAnsi="Consolas" w:cs="Consolas"/>
          <w:color w:val="333333"/>
          <w:sz w:val="18"/>
          <w:szCs w:val="18"/>
        </w:rPr>
        <w:t xml:space="preserve">              └───────────────┬──────────────────────┘</w:t>
      </w:r>
    </w:p>
    <w:p w14:paraId="2AA914FE" w14:textId="77777777" w:rsidR="00A233A1" w:rsidRDefault="0008082D">
      <w:pPr>
        <w:shd w:val="clear" w:color="auto" w:fill="EAF0FA"/>
      </w:pPr>
      <w:r>
        <w:rPr>
          <w:rFonts w:ascii="Consolas" w:eastAsia="Consolas" w:hAnsi="Consolas" w:cs="Consolas"/>
          <w:color w:val="333333"/>
          <w:sz w:val="18"/>
          <w:szCs w:val="18"/>
        </w:rPr>
        <w:t xml:space="preserve">                              └──── updates ───► ONTOLOGY</w:t>
      </w:r>
    </w:p>
    <w:p w14:paraId="2AA914FF" w14:textId="77777777" w:rsidR="00A233A1" w:rsidRDefault="00A233A1">
      <w:pPr>
        <w:spacing w:after="160"/>
      </w:pPr>
    </w:p>
    <w:p w14:paraId="2AA91500" w14:textId="77777777" w:rsidR="00A233A1" w:rsidRDefault="0008082D">
      <w:pPr>
        <w:pStyle w:val="Heading2"/>
      </w:pPr>
      <w:r>
        <w:t>7.4 Design principles</w:t>
      </w:r>
    </w:p>
    <w:p w14:paraId="2AA91501" w14:textId="77777777" w:rsidR="00A233A1" w:rsidRDefault="0008082D">
      <w:pPr>
        <w:pStyle w:val="ListParagraph"/>
        <w:numPr>
          <w:ilvl w:val="0"/>
          <w:numId w:val="2"/>
        </w:numPr>
        <w:spacing w:after="80" w:line="264" w:lineRule="auto"/>
      </w:pPr>
      <w:r>
        <w:rPr>
          <w:b/>
          <w:bCs/>
        </w:rPr>
        <w:t xml:space="preserve">One source of meaning — </w:t>
      </w:r>
      <w:r>
        <w:t>the ontology is the single source of truth; both guides are generated from it, so they never disagree.</w:t>
      </w:r>
    </w:p>
    <w:p w14:paraId="2AA91502" w14:textId="77777777" w:rsidR="00A233A1" w:rsidRDefault="0008082D">
      <w:pPr>
        <w:pStyle w:val="ListParagraph"/>
        <w:numPr>
          <w:ilvl w:val="0"/>
          <w:numId w:val="2"/>
        </w:numPr>
        <w:spacing w:after="80" w:line="264" w:lineRule="auto"/>
      </w:pPr>
      <w:r>
        <w:rPr>
          <w:b/>
          <w:bCs/>
        </w:rPr>
        <w:t xml:space="preserve">Computational before inferential — </w:t>
      </w:r>
      <w:r>
        <w:t>enforce vocabulary with deterministic contract tests wherever possible; use the Markdown guide only where judgement is needed.</w:t>
      </w:r>
    </w:p>
    <w:p w14:paraId="2AA91503" w14:textId="77777777" w:rsidR="00A233A1" w:rsidRDefault="0008082D">
      <w:pPr>
        <w:pStyle w:val="ListParagraph"/>
        <w:numPr>
          <w:ilvl w:val="0"/>
          <w:numId w:val="2"/>
        </w:numPr>
        <w:spacing w:after="80" w:line="264" w:lineRule="auto"/>
      </w:pPr>
      <w:r>
        <w:rPr>
          <w:b/>
          <w:bCs/>
        </w:rPr>
        <w:t xml:space="preserve">Living, not static — </w:t>
      </w:r>
      <w:r>
        <w:t>the sensor keeps the model true over time instead of letting it rot into stale documentation.</w:t>
      </w:r>
    </w:p>
    <w:p w14:paraId="2AA91504" w14:textId="77777777" w:rsidR="00A233A1" w:rsidRDefault="0008082D">
      <w:pPr>
        <w:pStyle w:val="ListParagraph"/>
        <w:numPr>
          <w:ilvl w:val="0"/>
          <w:numId w:val="2"/>
        </w:numPr>
        <w:spacing w:after="80" w:line="264" w:lineRule="auto"/>
      </w:pPr>
      <w:r>
        <w:rPr>
          <w:b/>
          <w:bCs/>
        </w:rPr>
        <w:t xml:space="preserve">Boundary discipline — </w:t>
      </w:r>
      <w:r>
        <w:t>vendor terms stay inside adapters; the canonical vocabulary owns everything past that boundary.</w:t>
      </w:r>
    </w:p>
    <w:p w14:paraId="2AA91505" w14:textId="77777777" w:rsidR="00A233A1" w:rsidRDefault="0008082D">
      <w:pPr>
        <w:pStyle w:val="Heading2"/>
      </w:pPr>
      <w:r>
        <w:t>7.5 Why this design wins</w:t>
      </w:r>
    </w:p>
    <w:p w14:paraId="2AA91506" w14:textId="77777777" w:rsidR="00A233A1" w:rsidRDefault="0008082D">
      <w:pPr>
        <w:spacing w:after="160" w:line="276" w:lineRule="auto"/>
        <w:jc w:val="both"/>
      </w:pPr>
      <w:r>
        <w:t>It attacks the problem at its root: ambiguity of meaning. The inferential guide steers the agent toward the right vocabulary, the computational guide makes correctness non-negotiable, and the sensor prevents the model from decaying. Because everything derives from one ontology and is enforced by tests, the result is not a nicer document — it is a coding agent that provably speaks our domain’s language, with evidence a judge can see in a single before/after run.</w:t>
      </w:r>
    </w:p>
    <w:p w14:paraId="2AA91507" w14:textId="77777777" w:rsidR="00A233A1" w:rsidRDefault="00A233A1">
      <w:pPr>
        <w:pBdr>
          <w:bottom w:val="single" w:sz="6" w:space="1" w:color="2E75B6"/>
        </w:pBdr>
        <w:spacing w:after="120"/>
      </w:pPr>
    </w:p>
    <w:p w14:paraId="2AA91508" w14:textId="77777777" w:rsidR="00A233A1" w:rsidRDefault="0008082D">
      <w:pPr>
        <w:jc w:val="center"/>
      </w:pPr>
      <w:r>
        <w:rPr>
          <w:i/>
          <w:iCs/>
          <w:color w:val="2E75B6"/>
        </w:rPr>
        <w:t>Lexicon — teach the agent your domain’s language, then make it enforceable.</w:t>
      </w:r>
    </w:p>
    <w:sectPr w:rsidR="00A233A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769F17" w14:textId="77777777" w:rsidR="00D44F18" w:rsidRDefault="00D44F18">
      <w:r>
        <w:separator/>
      </w:r>
    </w:p>
  </w:endnote>
  <w:endnote w:type="continuationSeparator" w:id="0">
    <w:p w14:paraId="2865C4F7" w14:textId="77777777" w:rsidR="00D44F18" w:rsidRDefault="00D44F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A9150A" w14:textId="6023480E" w:rsidR="00A233A1" w:rsidRDefault="0008082D">
    <w:pPr>
      <w:pBdr>
        <w:top w:val="single" w:sz="4" w:space="2" w:color="BFBFBF"/>
      </w:pBdr>
      <w:tabs>
        <w:tab w:val="right" w:pos="9026"/>
      </w:tabs>
    </w:pPr>
    <w:r>
      <w:rPr>
        <w:color w:val="595959"/>
        <w:sz w:val="16"/>
        <w:szCs w:val="16"/>
      </w:rPr>
      <w:t>Confidential — Internal Proposal</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36562E">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8FFB91D" w14:textId="77777777" w:rsidR="00D44F18" w:rsidRDefault="00D44F18">
      <w:r>
        <w:separator/>
      </w:r>
    </w:p>
  </w:footnote>
  <w:footnote w:type="continuationSeparator" w:id="0">
    <w:p w14:paraId="59169C46" w14:textId="77777777" w:rsidR="00D44F18" w:rsidRDefault="00D44F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A91509" w14:textId="77777777" w:rsidR="00A233A1" w:rsidRDefault="0008082D">
    <w:pPr>
      <w:pBdr>
        <w:bottom w:val="single" w:sz="4" w:space="2" w:color="BFBFBF"/>
      </w:pBdr>
      <w:jc w:val="right"/>
    </w:pPr>
    <w:r>
      <w:rPr>
        <w:color w:val="595959"/>
        <w:sz w:val="16"/>
        <w:szCs w:val="16"/>
      </w:rPr>
      <w:t xml:space="preserve">Lexicon  ·  </w:t>
    </w:r>
    <w:proofErr w:type="spellStart"/>
    <w:r>
      <w:rPr>
        <w:color w:val="595959"/>
        <w:sz w:val="16"/>
        <w:szCs w:val="16"/>
      </w:rPr>
      <w:t>Sparkathon</w:t>
    </w:r>
    <w:proofErr w:type="spellEnd"/>
    <w:r>
      <w:rPr>
        <w:color w:val="595959"/>
        <w:sz w:val="16"/>
        <w:szCs w:val="16"/>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3730659"/>
    <w:multiLevelType w:val="hybridMultilevel"/>
    <w:tmpl w:val="8B6E9202"/>
    <w:lvl w:ilvl="0" w:tplc="FF20F490">
      <w:start w:val="1"/>
      <w:numFmt w:val="bullet"/>
      <w:lvlText w:val="●"/>
      <w:lvlJc w:val="left"/>
      <w:pPr>
        <w:ind w:left="720" w:hanging="360"/>
      </w:pPr>
    </w:lvl>
    <w:lvl w:ilvl="1" w:tplc="E1E49FE0">
      <w:start w:val="1"/>
      <w:numFmt w:val="bullet"/>
      <w:lvlText w:val="○"/>
      <w:lvlJc w:val="left"/>
      <w:pPr>
        <w:ind w:left="1440" w:hanging="360"/>
      </w:pPr>
    </w:lvl>
    <w:lvl w:ilvl="2" w:tplc="FDC8A102">
      <w:start w:val="1"/>
      <w:numFmt w:val="bullet"/>
      <w:lvlText w:val="■"/>
      <w:lvlJc w:val="left"/>
      <w:pPr>
        <w:ind w:left="2160" w:hanging="360"/>
      </w:pPr>
    </w:lvl>
    <w:lvl w:ilvl="3" w:tplc="645C7552">
      <w:start w:val="1"/>
      <w:numFmt w:val="bullet"/>
      <w:lvlText w:val="●"/>
      <w:lvlJc w:val="left"/>
      <w:pPr>
        <w:ind w:left="2880" w:hanging="360"/>
      </w:pPr>
    </w:lvl>
    <w:lvl w:ilvl="4" w:tplc="60620D5A">
      <w:start w:val="1"/>
      <w:numFmt w:val="bullet"/>
      <w:lvlText w:val="○"/>
      <w:lvlJc w:val="left"/>
      <w:pPr>
        <w:ind w:left="3600" w:hanging="360"/>
      </w:pPr>
    </w:lvl>
    <w:lvl w:ilvl="5" w:tplc="8B466672">
      <w:start w:val="1"/>
      <w:numFmt w:val="bullet"/>
      <w:lvlText w:val="■"/>
      <w:lvlJc w:val="left"/>
      <w:pPr>
        <w:ind w:left="4320" w:hanging="360"/>
      </w:pPr>
    </w:lvl>
    <w:lvl w:ilvl="6" w:tplc="78F4C1D4">
      <w:start w:val="1"/>
      <w:numFmt w:val="bullet"/>
      <w:lvlText w:val="●"/>
      <w:lvlJc w:val="left"/>
      <w:pPr>
        <w:ind w:left="5040" w:hanging="360"/>
      </w:pPr>
    </w:lvl>
    <w:lvl w:ilvl="7" w:tplc="9CBA1E32">
      <w:start w:val="1"/>
      <w:numFmt w:val="bullet"/>
      <w:lvlText w:val="●"/>
      <w:lvlJc w:val="left"/>
      <w:pPr>
        <w:ind w:left="5760" w:hanging="360"/>
      </w:pPr>
    </w:lvl>
    <w:lvl w:ilvl="8" w:tplc="E5FA302C">
      <w:start w:val="1"/>
      <w:numFmt w:val="bullet"/>
      <w:lvlText w:val="●"/>
      <w:lvlJc w:val="left"/>
      <w:pPr>
        <w:ind w:left="6480" w:hanging="360"/>
      </w:pPr>
    </w:lvl>
  </w:abstractNum>
  <w:abstractNum w:abstractNumId="1" w15:restartNumberingAfterBreak="0">
    <w:nsid w:val="3A7E35A6"/>
    <w:multiLevelType w:val="hybridMultilevel"/>
    <w:tmpl w:val="D0AA8070"/>
    <w:lvl w:ilvl="0" w:tplc="C43262F2">
      <w:start w:val="1"/>
      <w:numFmt w:val="decimal"/>
      <w:lvlText w:val="%1."/>
      <w:lvlJc w:val="left"/>
      <w:pPr>
        <w:ind w:left="620" w:hanging="300"/>
      </w:pPr>
    </w:lvl>
    <w:lvl w:ilvl="1" w:tplc="560A4FA6">
      <w:numFmt w:val="decimal"/>
      <w:lvlText w:val=""/>
      <w:lvlJc w:val="left"/>
    </w:lvl>
    <w:lvl w:ilvl="2" w:tplc="FBF0BD6C">
      <w:numFmt w:val="decimal"/>
      <w:lvlText w:val=""/>
      <w:lvlJc w:val="left"/>
    </w:lvl>
    <w:lvl w:ilvl="3" w:tplc="567401A4">
      <w:numFmt w:val="decimal"/>
      <w:lvlText w:val=""/>
      <w:lvlJc w:val="left"/>
    </w:lvl>
    <w:lvl w:ilvl="4" w:tplc="716224D4">
      <w:numFmt w:val="decimal"/>
      <w:lvlText w:val=""/>
      <w:lvlJc w:val="left"/>
    </w:lvl>
    <w:lvl w:ilvl="5" w:tplc="23AE2D1E">
      <w:numFmt w:val="decimal"/>
      <w:lvlText w:val=""/>
      <w:lvlJc w:val="left"/>
    </w:lvl>
    <w:lvl w:ilvl="6" w:tplc="6702164A">
      <w:numFmt w:val="decimal"/>
      <w:lvlText w:val=""/>
      <w:lvlJc w:val="left"/>
    </w:lvl>
    <w:lvl w:ilvl="7" w:tplc="762CF5D8">
      <w:numFmt w:val="decimal"/>
      <w:lvlText w:val=""/>
      <w:lvlJc w:val="left"/>
    </w:lvl>
    <w:lvl w:ilvl="8" w:tplc="0AACE04E">
      <w:numFmt w:val="decimal"/>
      <w:lvlText w:val=""/>
      <w:lvlJc w:val="left"/>
    </w:lvl>
  </w:abstractNum>
  <w:abstractNum w:abstractNumId="2" w15:restartNumberingAfterBreak="0">
    <w:nsid w:val="41BF7CCA"/>
    <w:multiLevelType w:val="hybridMultilevel"/>
    <w:tmpl w:val="5DE0DF60"/>
    <w:lvl w:ilvl="0" w:tplc="FD3EE436">
      <w:start w:val="1"/>
      <w:numFmt w:val="bullet"/>
      <w:lvlText w:val="•"/>
      <w:lvlJc w:val="left"/>
      <w:pPr>
        <w:ind w:left="620" w:hanging="300"/>
      </w:pPr>
    </w:lvl>
    <w:lvl w:ilvl="1" w:tplc="AEC0AC70">
      <w:numFmt w:val="decimal"/>
      <w:lvlText w:val=""/>
      <w:lvlJc w:val="left"/>
    </w:lvl>
    <w:lvl w:ilvl="2" w:tplc="E91A236A">
      <w:numFmt w:val="decimal"/>
      <w:lvlText w:val=""/>
      <w:lvlJc w:val="left"/>
    </w:lvl>
    <w:lvl w:ilvl="3" w:tplc="061236A6">
      <w:numFmt w:val="decimal"/>
      <w:lvlText w:val=""/>
      <w:lvlJc w:val="left"/>
    </w:lvl>
    <w:lvl w:ilvl="4" w:tplc="FF8ADF0E">
      <w:numFmt w:val="decimal"/>
      <w:lvlText w:val=""/>
      <w:lvlJc w:val="left"/>
    </w:lvl>
    <w:lvl w:ilvl="5" w:tplc="CB68D584">
      <w:numFmt w:val="decimal"/>
      <w:lvlText w:val=""/>
      <w:lvlJc w:val="left"/>
    </w:lvl>
    <w:lvl w:ilvl="6" w:tplc="A366E76A">
      <w:numFmt w:val="decimal"/>
      <w:lvlText w:val=""/>
      <w:lvlJc w:val="left"/>
    </w:lvl>
    <w:lvl w:ilvl="7" w:tplc="59BC0606">
      <w:numFmt w:val="decimal"/>
      <w:lvlText w:val=""/>
      <w:lvlJc w:val="left"/>
    </w:lvl>
    <w:lvl w:ilvl="8" w:tplc="8B3C11A0">
      <w:numFmt w:val="decimal"/>
      <w:lvlText w:val=""/>
      <w:lvlJc w:val="left"/>
    </w:lvl>
  </w:abstractNum>
  <w:abstractNum w:abstractNumId="3" w15:restartNumberingAfterBreak="0">
    <w:nsid w:val="470E369E"/>
    <w:multiLevelType w:val="hybridMultilevel"/>
    <w:tmpl w:val="22742252"/>
    <w:lvl w:ilvl="0" w:tplc="29065268">
      <w:start w:val="1"/>
      <w:numFmt w:val="decimal"/>
      <w:lvlText w:val="%1."/>
      <w:lvlJc w:val="left"/>
      <w:pPr>
        <w:ind w:left="620" w:hanging="300"/>
      </w:pPr>
    </w:lvl>
    <w:lvl w:ilvl="1" w:tplc="D3BC6838">
      <w:numFmt w:val="decimal"/>
      <w:lvlText w:val=""/>
      <w:lvlJc w:val="left"/>
    </w:lvl>
    <w:lvl w:ilvl="2" w:tplc="BAA62CA0">
      <w:numFmt w:val="decimal"/>
      <w:lvlText w:val=""/>
      <w:lvlJc w:val="left"/>
    </w:lvl>
    <w:lvl w:ilvl="3" w:tplc="416E803E">
      <w:numFmt w:val="decimal"/>
      <w:lvlText w:val=""/>
      <w:lvlJc w:val="left"/>
    </w:lvl>
    <w:lvl w:ilvl="4" w:tplc="4FA84B68">
      <w:numFmt w:val="decimal"/>
      <w:lvlText w:val=""/>
      <w:lvlJc w:val="left"/>
    </w:lvl>
    <w:lvl w:ilvl="5" w:tplc="4DAEA5E4">
      <w:numFmt w:val="decimal"/>
      <w:lvlText w:val=""/>
      <w:lvlJc w:val="left"/>
    </w:lvl>
    <w:lvl w:ilvl="6" w:tplc="C4101D52">
      <w:numFmt w:val="decimal"/>
      <w:lvlText w:val=""/>
      <w:lvlJc w:val="left"/>
    </w:lvl>
    <w:lvl w:ilvl="7" w:tplc="504E4A6A">
      <w:numFmt w:val="decimal"/>
      <w:lvlText w:val=""/>
      <w:lvlJc w:val="left"/>
    </w:lvl>
    <w:lvl w:ilvl="8" w:tplc="5C7685BE">
      <w:numFmt w:val="decimal"/>
      <w:lvlText w:val=""/>
      <w:lvlJc w:val="left"/>
    </w:lvl>
  </w:abstractNum>
  <w:num w:numId="1" w16cid:durableId="1615095661">
    <w:abstractNumId w:val="0"/>
    <w:lvlOverride w:ilvl="0">
      <w:startOverride w:val="1"/>
    </w:lvlOverride>
  </w:num>
  <w:num w:numId="2" w16cid:durableId="978338914">
    <w:abstractNumId w:val="2"/>
    <w:lvlOverride w:ilvl="0">
      <w:startOverride w:val="1"/>
    </w:lvlOverride>
  </w:num>
  <w:num w:numId="3" w16cid:durableId="169219292">
    <w:abstractNumId w:val="1"/>
    <w:lvlOverride w:ilvl="0">
      <w:startOverride w:val="1"/>
    </w:lvlOverride>
  </w:num>
  <w:num w:numId="4" w16cid:durableId="143738267">
    <w:abstractNumId w:val="3"/>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3A1"/>
    <w:rsid w:val="00001DF7"/>
    <w:rsid w:val="0008082D"/>
    <w:rsid w:val="00163BA2"/>
    <w:rsid w:val="0022414C"/>
    <w:rsid w:val="00227805"/>
    <w:rsid w:val="002D03F2"/>
    <w:rsid w:val="0036562E"/>
    <w:rsid w:val="004304AC"/>
    <w:rsid w:val="006F53B7"/>
    <w:rsid w:val="00747DFC"/>
    <w:rsid w:val="009154FE"/>
    <w:rsid w:val="00A233A1"/>
    <w:rsid w:val="00B72A52"/>
    <w:rsid w:val="00C73EB6"/>
    <w:rsid w:val="00D44F18"/>
    <w:rsid w:val="00DE3430"/>
    <w:rsid w:val="00E974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AA91414"/>
  <w15:docId w15:val="{0C227CA1-019E-C346-BF86-916408EDD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222222"/>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240" w:after="160"/>
      <w:outlineLvl w:val="0"/>
    </w:pPr>
    <w:rPr>
      <w:b/>
      <w:bCs/>
      <w:color w:val="1F3864"/>
      <w:sz w:val="32"/>
      <w:szCs w:val="32"/>
    </w:rPr>
  </w:style>
  <w:style w:type="paragraph" w:styleId="Heading2">
    <w:name w:val="heading 2"/>
    <w:uiPriority w:val="9"/>
    <w:unhideWhenUsed/>
    <w:qFormat/>
    <w:pPr>
      <w:spacing w:before="20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747DFC"/>
    <w:pPr>
      <w:tabs>
        <w:tab w:val="center" w:pos="4513"/>
        <w:tab w:val="right" w:pos="9026"/>
      </w:tabs>
    </w:pPr>
  </w:style>
  <w:style w:type="character" w:customStyle="1" w:styleId="HeaderChar">
    <w:name w:val="Header Char"/>
    <w:basedOn w:val="DefaultParagraphFont"/>
    <w:link w:val="Header"/>
    <w:uiPriority w:val="99"/>
    <w:semiHidden/>
    <w:rsid w:val="00747DFC"/>
  </w:style>
  <w:style w:type="paragraph" w:styleId="Footer">
    <w:name w:val="footer"/>
    <w:basedOn w:val="Normal"/>
    <w:link w:val="FooterChar"/>
    <w:uiPriority w:val="99"/>
    <w:semiHidden/>
    <w:unhideWhenUsed/>
    <w:rsid w:val="00747DFC"/>
    <w:pPr>
      <w:tabs>
        <w:tab w:val="center" w:pos="4513"/>
        <w:tab w:val="right" w:pos="9026"/>
      </w:tabs>
    </w:pPr>
  </w:style>
  <w:style w:type="character" w:customStyle="1" w:styleId="FooterChar">
    <w:name w:val="Footer Char"/>
    <w:basedOn w:val="DefaultParagraphFont"/>
    <w:link w:val="Footer"/>
    <w:uiPriority w:val="99"/>
    <w:semiHidden/>
    <w:rsid w:val="00747D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9e08a61-09f6-4c5f-81cc-e15b331ff36a}" enabled="1" method="Standard" siteId="{7123dabd-0e87-4da9-9cb9-b7ec82011aad}" removed="0"/>
</clbl:labelList>
</file>

<file path=docProps/app.xml><?xml version="1.0" encoding="utf-8"?>
<Properties xmlns="http://schemas.openxmlformats.org/officeDocument/2006/extended-properties" xmlns:vt="http://schemas.openxmlformats.org/officeDocument/2006/docPropsVTypes">
  <Template>Normal.dotm</Template>
  <TotalTime>61</TotalTime>
  <Pages>12</Pages>
  <Words>2966</Words>
  <Characters>16909</Characters>
  <Application>Microsoft Office Word</Application>
  <DocSecurity>0</DocSecurity>
  <Lines>140</Lines>
  <Paragraphs>39</Paragraphs>
  <ScaleCrop>false</ScaleCrop>
  <Company/>
  <LinksUpToDate>false</LinksUpToDate>
  <CharactersWithSpaces>19836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Lexicon — Sparkathon 2026</dc:title>
  <dc:creator>Swapnil Zade</dc:creator>
  <cp:lastModifiedBy>Swapnil Zade</cp:lastModifiedBy>
  <cp:revision>10</cp:revision>
  <dcterms:created xsi:type="dcterms:W3CDTF">2026-07-04T20:10:00Z</dcterms:created>
  <dcterms:modified xsi:type="dcterms:W3CDTF">2026-07-05T15:56:00Z</dcterms:modified>
</cp:coreProperties>
</file>