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9"/>
          <w:sz w:val="44"/>
        </w:rPr>
        <w:t>Unite MSC Enrollment Workflow</w:t>
      </w:r>
    </w:p>
    <w:p>
      <w:pPr>
        <w:spacing w:after="80"/>
        <w:jc w:val="center"/>
      </w:pPr>
      <w:r>
        <w:rPr>
          <w:color w:val="595959"/>
          <w:sz w:val="26"/>
        </w:rPr>
        <w:t>Implementation Plan for Postman, Rest Assured Automation, and End-to-End Migration</w:t>
      </w:r>
    </w:p>
    <w:tbl>
      <w:tblPr>
        <w:tblStyle w:val="TableGrid"/>
        <w:tblW w:type="auto" w:w="0"/>
        <w:tblLook w:firstColumn="1" w:firstRow="1" w:lastColumn="0" w:lastRow="0" w:noHBand="0" w:noVBand="1" w:val="04A0"/>
      </w:tblPr>
      <w:tblGrid>
        <w:gridCol w:w="10656"/>
      </w:tblGrid>
      <w:tr>
        <w:tc>
          <w:tcPr>
            <w:tcW w:type="dxa" w:w="10656"/>
            <w:shd w:fill="EAF3F8"/>
          </w:tcPr>
          <w:p>
            <w:r>
              <w:rPr>
                <w:b/>
                <w:color w:val="1F4E79"/>
                <w:sz w:val="20"/>
              </w:rPr>
              <w:t xml:space="preserve">Purpose: </w:t>
            </w:r>
            <w:r>
              <w:rPr>
                <w:sz w:val="20"/>
              </w:rPr>
              <w:t>This document converts the meeting discussion and existing KT material into an implementation-ready workflow: what is broken today, how to make the manual Postman flow work, how to migrate it into api-test-automation, and what actions are needed to complete the whole enrollment workflow.</w:t>
            </w:r>
          </w:p>
        </w:tc>
      </w:tr>
    </w:tbl>
    <w:p>
      <w:pPr>
        <w:spacing w:after="80"/>
      </w:pPr>
    </w:p>
    <w:tbl>
      <w:tblPr>
        <w:tblStyle w:val="TableGrid"/>
        <w:tblW w:type="auto" w:w="0"/>
        <w:jc w:val="center"/>
        <w:tblLook w:firstColumn="1" w:firstRow="1" w:lastColumn="0" w:lastRow="0" w:noHBand="0" w:noVBand="1" w:val="04A0"/>
      </w:tblPr>
      <w:tblGrid>
        <w:gridCol w:w="5328"/>
        <w:gridCol w:w="5328"/>
      </w:tblGrid>
      <w:tr>
        <w:tc>
          <w:tcPr>
            <w:tcW w:type="dxa" w:w="3168"/>
            <w:vAlign w:val="center"/>
            <w:shd w:fill="1F4E79"/>
          </w:tcPr>
          <w:p>
            <w:r/>
            <w:r>
              <w:rPr>
                <w:b/>
                <w:color w:val="FFFFFF"/>
                <w:sz w:val="17"/>
              </w:rPr>
              <w:t>Source</w:t>
            </w:r>
          </w:p>
        </w:tc>
        <w:tc>
          <w:tcPr>
            <w:tcW w:type="dxa" w:w="6768"/>
            <w:vAlign w:val="center"/>
            <w:shd w:fill="1F4E79"/>
          </w:tcPr>
          <w:p>
            <w:r/>
            <w:r>
              <w:rPr>
                <w:b/>
                <w:color w:val="FFFFFF"/>
                <w:sz w:val="17"/>
              </w:rPr>
              <w:t>What it contributed</w:t>
            </w:r>
          </w:p>
        </w:tc>
      </w:tr>
      <w:tr>
        <w:tc>
          <w:tcPr>
            <w:tcW w:type="dxa" w:w="3168"/>
            <w:vAlign w:val="center"/>
          </w:tcPr>
          <w:p>
            <w:r/>
            <w:r>
              <w:rPr>
                <w:b w:val="0"/>
                <w:sz w:val="17"/>
              </w:rPr>
              <w:t>Teams meeting: Unite MSC Enrollment - Overview and Knowledge Sharing Session</w:t>
            </w:r>
          </w:p>
        </w:tc>
        <w:tc>
          <w:tcPr>
            <w:tcW w:type="dxa" w:w="6768"/>
            <w:vAlign w:val="center"/>
          </w:tcPr>
          <w:p>
            <w:r/>
            <w:r>
              <w:rPr>
                <w:b w:val="0"/>
                <w:sz w:val="17"/>
              </w:rPr>
              <w:t>Clarified the issue: 500 errors, payload/encryption confusion, duplicate user data, QC4 instability, Splunk debugging, and decision to use Stage1 for enrollment testing.</w:t>
            </w:r>
          </w:p>
        </w:tc>
      </w:tr>
      <w:tr>
        <w:tc>
          <w:tcPr>
            <w:tcW w:type="dxa" w:w="3168"/>
            <w:vAlign w:val="center"/>
          </w:tcPr>
          <w:p>
            <w:r/>
            <w:r>
              <w:rPr>
                <w:b w:val="0"/>
                <w:sz w:val="17"/>
              </w:rPr>
              <w:t>EnrollmentKT.pdf</w:t>
            </w:r>
          </w:p>
        </w:tc>
        <w:tc>
          <w:tcPr>
            <w:tcW w:type="dxa" w:w="6768"/>
            <w:vAlign w:val="center"/>
          </w:tcPr>
          <w:p>
            <w:r/>
            <w:r>
              <w:rPr>
                <w:b w:val="0"/>
                <w:sz w:val="17"/>
              </w:rPr>
              <w:t>Defines MSC enrollment flow, endpoints, encryption setup, JWT model, Postman assets, automation approach, troubleshooting, and roadmap.</w:t>
            </w:r>
          </w:p>
        </w:tc>
      </w:tr>
      <w:tr>
        <w:tc>
          <w:tcPr>
            <w:tcW w:type="dxa" w:w="3168"/>
            <w:vAlign w:val="center"/>
          </w:tcPr>
          <w:p>
            <w:r/>
            <w:r>
              <w:rPr>
                <w:b w:val="0"/>
                <w:sz w:val="17"/>
              </w:rPr>
              <w:t>JsonAPI Documentation / API Testing Hub / Target Framework Architecture</w:t>
            </w:r>
          </w:p>
        </w:tc>
        <w:tc>
          <w:tcPr>
            <w:tcW w:type="dxa" w:w="6768"/>
            <w:vAlign w:val="center"/>
          </w:tcPr>
          <w:p>
            <w:r/>
            <w:r>
              <w:rPr>
                <w:b w:val="0"/>
                <w:sz w:val="17"/>
              </w:rPr>
              <w:t>Defines JsonAPI framework practices, encryption/decryption library reuse, data generation, environment-driven execution, and target mobile enrollment module layout.</w:t>
            </w:r>
          </w:p>
        </w:tc>
      </w:tr>
    </w:tbl>
    <w:p>
      <w:pPr>
        <w:spacing w:after="80"/>
      </w:pPr>
    </w:p>
    <w:p>
      <w:pPr>
        <w:pStyle w:val="Heading1"/>
        <w:spacing w:before="160" w:after="80"/>
      </w:pPr>
      <w:r>
        <w:t>1. Executive Summary</w:t>
      </w:r>
    </w:p>
    <w:tbl>
      <w:tblPr>
        <w:tblStyle w:val="TableGrid"/>
        <w:tblW w:type="auto" w:w="0"/>
        <w:tblLook w:firstColumn="1" w:firstRow="1" w:lastColumn="0" w:lastRow="0" w:noHBand="0" w:noVBand="1" w:val="04A0"/>
      </w:tblPr>
      <w:tblGrid>
        <w:gridCol w:w="10656"/>
      </w:tblGrid>
      <w:tr>
        <w:tc>
          <w:tcPr>
            <w:tcW w:type="dxa" w:w="10656"/>
            <w:shd w:fill="FFF2CC"/>
          </w:tcPr>
          <w:p>
            <w:r>
              <w:rPr>
                <w:b/>
                <w:color w:val="1F4E79"/>
                <w:sz w:val="20"/>
              </w:rPr>
              <w:t xml:space="preserve">Bottom line: </w:t>
            </w:r>
            <w:r>
              <w:rPr>
                <w:sz w:val="20"/>
              </w:rPr>
              <w:t>The current blocker is not a missing ID token flow. The meeting narrowed the issue to payload construction, encryption consistency, environment health, and uniqueness of enrollment data. The implementation path is to stabilize the Postman smoke flow in Stage1 first, then convert the stable flow into Rest Assured tests using the existing JsonAPI encryption utilities and framework conventions.</w:t>
            </w:r>
          </w:p>
        </w:tc>
      </w:tr>
    </w:tbl>
    <w:p>
      <w:pPr>
        <w:spacing w:after="80"/>
      </w:pPr>
    </w:p>
    <w:p>
      <w:pPr>
        <w:pStyle w:val="ListBullet"/>
        <w:spacing w:after="40"/>
      </w:pPr>
      <w:r>
        <w:t>Use Stage1 as the primary enrollment testing target for now because the team observed QC4 500 errors while Stage1 worked with Nick Botvinnik's test payload.</w:t>
      </w:r>
    </w:p>
    <w:p>
      <w:pPr>
        <w:pStyle w:val="ListBullet"/>
        <w:spacing w:after="40"/>
      </w:pPr>
      <w:r>
        <w:t>Do not treat mobile login/member JWT as enrollment auth. Create prospect first and use the ENROLL_PROSPECT JWT returned from POST /enrollments/prospects for steps 06-13.</w:t>
      </w:r>
    </w:p>
    <w:p>
      <w:pPr>
        <w:pStyle w:val="ListBullet"/>
        <w:spacing w:after="40"/>
      </w:pPr>
      <w:r>
        <w:t>Run the certificate/encryption bootstrap once for a given request flow and carry encAesKey plus AES-encrypted field values consistently across each payload.</w:t>
      </w:r>
    </w:p>
    <w:p>
      <w:pPr>
        <w:pStyle w:val="ListBullet"/>
        <w:spacing w:after="40"/>
      </w:pPr>
      <w:r>
        <w:t>Generate fresh unique test data every run for username, email, SSN, and other fields that are validated for uniqueness by backend services.</w:t>
      </w:r>
    </w:p>
    <w:p>
      <w:pPr>
        <w:pStyle w:val="ListBullet"/>
        <w:spacing w:after="40"/>
      </w:pPr>
      <w:r>
        <w:t>Cut the payload down to required fields first, prove the happy path, then add optional fields one by one.</w:t>
      </w:r>
    </w:p>
    <w:p>
      <w:pPr>
        <w:pStyle w:val="ListBullet"/>
        <w:spacing w:after="40"/>
      </w:pPr>
      <w:r>
        <w:t>After Postman is reliable, migrate the same state-chained flow into api-test-automation under a mobile/enrollment module.</w:t>
      </w:r>
    </w:p>
    <w:p>
      <w:pPr>
        <w:pStyle w:val="Heading1"/>
        <w:spacing w:before="160" w:after="80"/>
      </w:pPr>
      <w:r>
        <w:t>2. What Was Discussed in the Meeting</w:t>
      </w:r>
    </w:p>
    <w:tbl>
      <w:tblPr>
        <w:tblStyle w:val="TableGrid"/>
        <w:tblW w:type="auto" w:w="0"/>
        <w:jc w:val="center"/>
        <w:tblLook w:firstColumn="1" w:firstRow="1" w:lastColumn="0" w:lastRow="0" w:noHBand="0" w:noVBand="1" w:val="04A0"/>
      </w:tblPr>
      <w:tblGrid>
        <w:gridCol w:w="5328"/>
        <w:gridCol w:w="5328"/>
      </w:tblGrid>
      <w:tr>
        <w:tc>
          <w:tcPr>
            <w:tcW w:type="dxa" w:w="2232"/>
            <w:vAlign w:val="center"/>
            <w:shd w:fill="1F4E79"/>
          </w:tcPr>
          <w:p>
            <w:r/>
            <w:r>
              <w:rPr>
                <w:b/>
                <w:color w:val="FFFFFF"/>
                <w:sz w:val="17"/>
              </w:rPr>
              <w:t>Discussion area</w:t>
            </w:r>
          </w:p>
        </w:tc>
        <w:tc>
          <w:tcPr>
            <w:tcW w:type="dxa" w:w="7704"/>
            <w:vAlign w:val="center"/>
            <w:shd w:fill="1F4E79"/>
          </w:tcPr>
          <w:p>
            <w:r/>
            <w:r>
              <w:rPr>
                <w:b/>
                <w:color w:val="FFFFFF"/>
                <w:sz w:val="17"/>
              </w:rPr>
              <w:t>Meeting outcome / interpretation</w:t>
            </w:r>
          </w:p>
        </w:tc>
      </w:tr>
      <w:tr>
        <w:tc>
          <w:tcPr>
            <w:tcW w:type="dxa" w:w="2232"/>
            <w:vAlign w:val="center"/>
          </w:tcPr>
          <w:p>
            <w:r/>
            <w:r>
              <w:rPr>
                <w:b w:val="0"/>
                <w:sz w:val="17"/>
              </w:rPr>
              <w:t>Initial problem</w:t>
            </w:r>
          </w:p>
        </w:tc>
        <w:tc>
          <w:tcPr>
            <w:tcW w:type="dxa" w:w="7704"/>
            <w:vAlign w:val="center"/>
          </w:tcPr>
          <w:p>
            <w:r/>
            <w:r>
              <w:rPr>
                <w:b w:val="0"/>
                <w:sz w:val="17"/>
              </w:rPr>
              <w:t>Dinesh had created enrollment endpoints in Postman and was trying to generate encryption keys and encrypted payloads, but POST /enrollments/prospects was returning 500.</w:t>
            </w:r>
          </w:p>
        </w:tc>
      </w:tr>
      <w:tr>
        <w:tc>
          <w:tcPr>
            <w:tcW w:type="dxa" w:w="2232"/>
            <w:vAlign w:val="center"/>
          </w:tcPr>
          <w:p>
            <w:r/>
            <w:r>
              <w:rPr>
                <w:b w:val="0"/>
                <w:sz w:val="17"/>
              </w:rPr>
              <w:t>Payload inspection</w:t>
            </w:r>
          </w:p>
        </w:tc>
        <w:tc>
          <w:tcPr>
            <w:tcW w:type="dxa" w:w="7704"/>
            <w:vAlign w:val="center"/>
          </w:tcPr>
          <w:p>
            <w:r/>
            <w:r>
              <w:rPr>
                <w:b w:val="0"/>
                <w:sz w:val="17"/>
              </w:rPr>
              <w:t>Nick and Luis asked to inspect the actual request body from the Postman console, not just the script, to confirm what was actually being sent.</w:t>
            </w:r>
          </w:p>
        </w:tc>
      </w:tr>
      <w:tr>
        <w:tc>
          <w:tcPr>
            <w:tcW w:type="dxa" w:w="2232"/>
            <w:vAlign w:val="center"/>
          </w:tcPr>
          <w:p>
            <w:r/>
            <w:r>
              <w:rPr>
                <w:b w:val="0"/>
                <w:sz w:val="17"/>
              </w:rPr>
              <w:t>Encryption concern</w:t>
            </w:r>
          </w:p>
        </w:tc>
        <w:tc>
          <w:tcPr>
            <w:tcW w:type="dxa" w:w="7704"/>
            <w:vAlign w:val="center"/>
          </w:tcPr>
          <w:p>
            <w:r/>
            <w:r>
              <w:rPr>
                <w:b w:val="0"/>
                <w:sz w:val="17"/>
              </w:rPr>
              <w:t>Luis called out that data already encrypted in variables must not be encrypted again. The team agreed to verify there is no double encryption.</w:t>
            </w:r>
          </w:p>
        </w:tc>
      </w:tr>
      <w:tr>
        <w:tc>
          <w:tcPr>
            <w:tcW w:type="dxa" w:w="2232"/>
            <w:vAlign w:val="center"/>
          </w:tcPr>
          <w:p>
            <w:r/>
            <w:r>
              <w:rPr>
                <w:b w:val="0"/>
                <w:sz w:val="17"/>
              </w:rPr>
              <w:t>Token concern</w:t>
            </w:r>
          </w:p>
        </w:tc>
        <w:tc>
          <w:tcPr>
            <w:tcW w:type="dxa" w:w="7704"/>
            <w:vAlign w:val="center"/>
          </w:tcPr>
          <w:p>
            <w:r/>
            <w:r>
              <w:rPr>
                <w:b w:val="0"/>
                <w:sz w:val="17"/>
              </w:rPr>
              <w:t>The group confirmed the main concern was not extra ID token work. The create prospect step should return the enrollment JWT for subsequent steps.</w:t>
            </w:r>
          </w:p>
        </w:tc>
      </w:tr>
      <w:tr>
        <w:tc>
          <w:tcPr>
            <w:tcW w:type="dxa" w:w="2232"/>
            <w:vAlign w:val="center"/>
          </w:tcPr>
          <w:p>
            <w:r/>
            <w:r>
              <w:rPr>
                <w:b w:val="0"/>
                <w:sz w:val="17"/>
              </w:rPr>
              <w:t>Certificates and keys</w:t>
            </w:r>
          </w:p>
        </w:tc>
        <w:tc>
          <w:tcPr>
            <w:tcW w:type="dxa" w:w="7704"/>
            <w:vAlign w:val="center"/>
          </w:tcPr>
          <w:p>
            <w:r/>
            <w:r>
              <w:rPr>
                <w:b w:val="0"/>
                <w:sz w:val="17"/>
              </w:rPr>
              <w:t>The certificate endpoint provides dynamic key material for the environment. It is not a separately installed physical certificate.</w:t>
            </w:r>
          </w:p>
        </w:tc>
      </w:tr>
      <w:tr>
        <w:tc>
          <w:tcPr>
            <w:tcW w:type="dxa" w:w="2232"/>
            <w:vAlign w:val="center"/>
          </w:tcPr>
          <w:p>
            <w:r/>
            <w:r>
              <w:rPr>
                <w:b w:val="0"/>
                <w:sz w:val="17"/>
              </w:rPr>
              <w:t>Duplicate user issue</w:t>
            </w:r>
          </w:p>
        </w:tc>
        <w:tc>
          <w:tcPr>
            <w:tcW w:type="dxa" w:w="7704"/>
            <w:vAlign w:val="center"/>
          </w:tcPr>
          <w:p>
            <w:r/>
            <w:r>
              <w:rPr>
                <w:b w:val="0"/>
                <w:sz w:val="17"/>
              </w:rPr>
              <w:t>Venkatesh was seeing user already exists. That indicates the payload can be decrypted and the API is validating against existing username/email/SSN data. The fix is to generate new unique data, not to change encryption repeatedly.</w:t>
            </w:r>
          </w:p>
        </w:tc>
      </w:tr>
      <w:tr>
        <w:tc>
          <w:tcPr>
            <w:tcW w:type="dxa" w:w="2232"/>
            <w:vAlign w:val="center"/>
          </w:tcPr>
          <w:p>
            <w:r/>
            <w:r>
              <w:rPr>
                <w:b w:val="0"/>
                <w:sz w:val="17"/>
              </w:rPr>
              <w:t>Environment decision</w:t>
            </w:r>
          </w:p>
        </w:tc>
        <w:tc>
          <w:tcPr>
            <w:tcW w:type="dxa" w:w="7704"/>
            <w:vAlign w:val="center"/>
          </w:tcPr>
          <w:p>
            <w:r/>
            <w:r>
              <w:rPr>
                <w:b w:val="0"/>
                <w:sz w:val="17"/>
              </w:rPr>
              <w:t>Nick later shared that his payload failed in QC4 with 500 but worked in Stage1. Swapnil recommended switching enrollment-related testing to Stage1 at this point.</w:t>
            </w:r>
          </w:p>
        </w:tc>
      </w:tr>
      <w:tr>
        <w:tc>
          <w:tcPr>
            <w:tcW w:type="dxa" w:w="2232"/>
            <w:vAlign w:val="center"/>
          </w:tcPr>
          <w:p>
            <w:r/>
            <w:r>
              <w:rPr>
                <w:b w:val="0"/>
                <w:sz w:val="17"/>
              </w:rPr>
              <w:t>Tooling update</w:t>
            </w:r>
          </w:p>
        </w:tc>
        <w:tc>
          <w:tcPr>
            <w:tcW w:type="dxa" w:w="7704"/>
            <w:vAlign w:val="center"/>
          </w:tcPr>
          <w:p>
            <w:r/>
            <w:r>
              <w:rPr>
                <w:b w:val="0"/>
                <w:sz w:val="17"/>
              </w:rPr>
              <w:t>Nick checked changes into api-test-automation for JAR executables usable for generating/decrypting mobile payloads, with notes under jsonapi-encryption docs.</w:t>
            </w:r>
          </w:p>
        </w:tc>
      </w:tr>
      <w:tr>
        <w:tc>
          <w:tcPr>
            <w:tcW w:type="dxa" w:w="2232"/>
            <w:vAlign w:val="center"/>
          </w:tcPr>
          <w:p>
            <w:r/>
            <w:r>
              <w:rPr>
                <w:b w:val="0"/>
                <w:sz w:val="17"/>
              </w:rPr>
              <w:t>Debugging access</w:t>
            </w:r>
          </w:p>
        </w:tc>
        <w:tc>
          <w:tcPr>
            <w:tcW w:type="dxa" w:w="7704"/>
            <w:vAlign w:val="center"/>
          </w:tcPr>
          <w:p>
            <w:r/>
            <w:r>
              <w:rPr>
                <w:b w:val="0"/>
                <w:sz w:val="17"/>
              </w:rPr>
              <w:t>Luis shared a Splunk query. Priti had Splunk access; Swapnil did not and planned to create an RT if access was needed.</w:t>
            </w:r>
          </w:p>
        </w:tc>
      </w:tr>
    </w:tbl>
    <w:p>
      <w:pPr>
        <w:spacing w:after="80"/>
      </w:pPr>
    </w:p>
    <w:p>
      <w:pPr>
        <w:pStyle w:val="Heading1"/>
        <w:spacing w:before="160" w:after="80"/>
      </w:pPr>
      <w:r>
        <w:t>3. Current State and Problem Framing</w:t>
      </w:r>
    </w:p>
    <w:tbl>
      <w:tblPr>
        <w:tblStyle w:val="TableGrid"/>
        <w:tblW w:type="auto" w:w="0"/>
        <w:jc w:val="center"/>
        <w:tblLook w:firstColumn="1" w:firstRow="1" w:lastColumn="0" w:lastRow="0" w:noHBand="0" w:noVBand="1" w:val="04A0"/>
      </w:tblPr>
      <w:tblGrid>
        <w:gridCol w:w="3552"/>
        <w:gridCol w:w="3552"/>
        <w:gridCol w:w="3552"/>
      </w:tblGrid>
      <w:tr>
        <w:tc>
          <w:tcPr>
            <w:tcW w:type="dxa" w:w="1872"/>
            <w:vAlign w:val="center"/>
            <w:shd w:fill="1F4E79"/>
          </w:tcPr>
          <w:p>
            <w:r/>
            <w:r>
              <w:rPr>
                <w:b/>
                <w:color w:val="FFFFFF"/>
                <w:sz w:val="17"/>
              </w:rPr>
              <w:t>Area</w:t>
            </w:r>
          </w:p>
        </w:tc>
        <w:tc>
          <w:tcPr>
            <w:tcW w:type="dxa" w:w="4104"/>
            <w:vAlign w:val="center"/>
            <w:shd w:fill="1F4E79"/>
          </w:tcPr>
          <w:p>
            <w:r/>
            <w:r>
              <w:rPr>
                <w:b/>
                <w:color w:val="FFFFFF"/>
                <w:sz w:val="17"/>
              </w:rPr>
              <w:t>Current state</w:t>
            </w:r>
          </w:p>
        </w:tc>
        <w:tc>
          <w:tcPr>
            <w:tcW w:type="dxa" w:w="4104"/>
            <w:vAlign w:val="center"/>
            <w:shd w:fill="1F4E79"/>
          </w:tcPr>
          <w:p>
            <w:r/>
            <w:r>
              <w:rPr>
                <w:b/>
                <w:color w:val="FFFFFF"/>
                <w:sz w:val="17"/>
              </w:rPr>
              <w:t>Required direction</w:t>
            </w:r>
          </w:p>
        </w:tc>
      </w:tr>
      <w:tr>
        <w:tc>
          <w:tcPr>
            <w:tcW w:type="dxa" w:w="1872"/>
            <w:vAlign w:val="center"/>
          </w:tcPr>
          <w:p>
            <w:r/>
            <w:r>
              <w:rPr>
                <w:b w:val="0"/>
                <w:sz w:val="17"/>
              </w:rPr>
              <w:t>Postman</w:t>
            </w:r>
          </w:p>
        </w:tc>
        <w:tc>
          <w:tcPr>
            <w:tcW w:type="dxa" w:w="4104"/>
            <w:vAlign w:val="center"/>
          </w:tcPr>
          <w:p>
            <w:r/>
            <w:r>
              <w:rPr>
                <w:b w:val="0"/>
                <w:sz w:val="17"/>
              </w:rPr>
              <w:t>Manual flow exists but payload setup, environment variables, and uniqueness of data are inconsistent.</w:t>
            </w:r>
          </w:p>
        </w:tc>
        <w:tc>
          <w:tcPr>
            <w:tcW w:type="dxa" w:w="4104"/>
            <w:vAlign w:val="center"/>
          </w:tcPr>
          <w:p>
            <w:r/>
            <w:r>
              <w:rPr>
                <w:b w:val="0"/>
                <w:sz w:val="17"/>
              </w:rPr>
              <w:t>Create one reliable Stage1 collection/environment flow and prove it end-to-end.</w:t>
            </w:r>
          </w:p>
        </w:tc>
      </w:tr>
      <w:tr>
        <w:tc>
          <w:tcPr>
            <w:tcW w:type="dxa" w:w="1872"/>
            <w:vAlign w:val="center"/>
          </w:tcPr>
          <w:p>
            <w:r/>
            <w:r>
              <w:rPr>
                <w:b w:val="0"/>
                <w:sz w:val="17"/>
              </w:rPr>
              <w:t>Encryption</w:t>
            </w:r>
          </w:p>
        </w:tc>
        <w:tc>
          <w:tcPr>
            <w:tcW w:type="dxa" w:w="4104"/>
            <w:vAlign w:val="center"/>
          </w:tcPr>
          <w:p>
            <w:r/>
            <w:r>
              <w:rPr>
                <w:b w:val="0"/>
                <w:sz w:val="17"/>
              </w:rPr>
              <w:t>Encryption scripts/JARs exist, but team confusion remains around when key/payload values are generated and reused.</w:t>
            </w:r>
          </w:p>
        </w:tc>
        <w:tc>
          <w:tcPr>
            <w:tcW w:type="dxa" w:w="4104"/>
            <w:vAlign w:val="center"/>
          </w:tcPr>
          <w:p>
            <w:r/>
            <w:r>
              <w:rPr>
                <w:b w:val="0"/>
                <w:sz w:val="17"/>
              </w:rPr>
              <w:t>Centralize encryption bootstrap and ensure one-time encryption per request payload.</w:t>
            </w:r>
          </w:p>
        </w:tc>
      </w:tr>
      <w:tr>
        <w:tc>
          <w:tcPr>
            <w:tcW w:type="dxa" w:w="1872"/>
            <w:vAlign w:val="center"/>
          </w:tcPr>
          <w:p>
            <w:r/>
            <w:r>
              <w:rPr>
                <w:b w:val="0"/>
                <w:sz w:val="17"/>
              </w:rPr>
              <w:t>JWT</w:t>
            </w:r>
          </w:p>
        </w:tc>
        <w:tc>
          <w:tcPr>
            <w:tcW w:type="dxa" w:w="4104"/>
            <w:vAlign w:val="center"/>
          </w:tcPr>
          <w:p>
            <w:r/>
            <w:r>
              <w:rPr>
                <w:b w:val="0"/>
                <w:sz w:val="17"/>
              </w:rPr>
              <w:t>Concern existed around whether ID token was missing.</w:t>
            </w:r>
          </w:p>
        </w:tc>
        <w:tc>
          <w:tcPr>
            <w:tcW w:type="dxa" w:w="4104"/>
            <w:vAlign w:val="center"/>
          </w:tcPr>
          <w:p>
            <w:r/>
            <w:r>
              <w:rPr>
                <w:b w:val="0"/>
                <w:sz w:val="17"/>
              </w:rPr>
              <w:t>Use ENROLL_PROSPECT JWT returned from create prospect. Do not use MEMBER JWT for enrollment topic.</w:t>
            </w:r>
          </w:p>
        </w:tc>
      </w:tr>
      <w:tr>
        <w:tc>
          <w:tcPr>
            <w:tcW w:type="dxa" w:w="1872"/>
            <w:vAlign w:val="center"/>
          </w:tcPr>
          <w:p>
            <w:r/>
            <w:r>
              <w:rPr>
                <w:b w:val="0"/>
                <w:sz w:val="17"/>
              </w:rPr>
              <w:t>Environment</w:t>
            </w:r>
          </w:p>
        </w:tc>
        <w:tc>
          <w:tcPr>
            <w:tcW w:type="dxa" w:w="4104"/>
            <w:vAlign w:val="center"/>
          </w:tcPr>
          <w:p>
            <w:r/>
            <w:r>
              <w:rPr>
                <w:b w:val="0"/>
                <w:sz w:val="17"/>
              </w:rPr>
              <w:t>QC4 showed 500 behavior; Stage1 was successfully exercised by Nick with test payload.</w:t>
            </w:r>
          </w:p>
        </w:tc>
        <w:tc>
          <w:tcPr>
            <w:tcW w:type="dxa" w:w="4104"/>
            <w:vAlign w:val="center"/>
          </w:tcPr>
          <w:p>
            <w:r/>
            <w:r>
              <w:rPr>
                <w:b w:val="0"/>
                <w:sz w:val="17"/>
              </w:rPr>
              <w:t>Use Stage1 for pilot and keep QC4 as a separate environment-health follow-up.</w:t>
            </w:r>
          </w:p>
        </w:tc>
      </w:tr>
      <w:tr>
        <w:tc>
          <w:tcPr>
            <w:tcW w:type="dxa" w:w="1872"/>
            <w:vAlign w:val="center"/>
          </w:tcPr>
          <w:p>
            <w:r/>
            <w:r>
              <w:rPr>
                <w:b w:val="0"/>
                <w:sz w:val="17"/>
              </w:rPr>
              <w:t>Automation</w:t>
            </w:r>
          </w:p>
        </w:tc>
        <w:tc>
          <w:tcPr>
            <w:tcW w:type="dxa" w:w="4104"/>
            <w:vAlign w:val="center"/>
          </w:tcPr>
          <w:p>
            <w:r/>
            <w:r>
              <w:rPr>
                <w:b w:val="0"/>
                <w:sz w:val="17"/>
              </w:rPr>
              <w:t>Universal Platform enrollment is automated. MSC enrollmentapi/v1 is not automated beyond pilot/skeleton.</w:t>
            </w:r>
          </w:p>
        </w:tc>
        <w:tc>
          <w:tcPr>
            <w:tcW w:type="dxa" w:w="4104"/>
            <w:vAlign w:val="center"/>
          </w:tcPr>
          <w:p>
            <w:r/>
            <w:r>
              <w:rPr>
                <w:b w:val="0"/>
                <w:sz w:val="17"/>
              </w:rPr>
              <w:t>Migrate Stage1 Postman flow into Rest Assured under mobile/enrollment.</w:t>
            </w:r>
          </w:p>
        </w:tc>
      </w:tr>
      <w:tr>
        <w:tc>
          <w:tcPr>
            <w:tcW w:type="dxa" w:w="1872"/>
            <w:vAlign w:val="center"/>
          </w:tcPr>
          <w:p>
            <w:r/>
            <w:r>
              <w:rPr>
                <w:b w:val="0"/>
                <w:sz w:val="17"/>
              </w:rPr>
              <w:t>Debugging</w:t>
            </w:r>
          </w:p>
        </w:tc>
        <w:tc>
          <w:tcPr>
            <w:tcW w:type="dxa" w:w="4104"/>
            <w:vAlign w:val="center"/>
          </w:tcPr>
          <w:p>
            <w:r/>
            <w:r>
              <w:rPr>
                <w:b w:val="0"/>
                <w:sz w:val="17"/>
              </w:rPr>
              <w:t>Splunk query exists, but access varies among team members.</w:t>
            </w:r>
          </w:p>
        </w:tc>
        <w:tc>
          <w:tcPr>
            <w:tcW w:type="dxa" w:w="4104"/>
            <w:vAlign w:val="center"/>
          </w:tcPr>
          <w:p>
            <w:r/>
            <w:r>
              <w:rPr>
                <w:b w:val="0"/>
                <w:sz w:val="17"/>
              </w:rPr>
              <w:t>Ensure at least QA lead/support engineers have Splunk access and capture requestId for backend failures.</w:t>
            </w:r>
          </w:p>
        </w:tc>
      </w:tr>
    </w:tbl>
    <w:p>
      <w:pPr>
        <w:spacing w:after="80"/>
      </w:pPr>
    </w:p>
    <w:p>
      <w:pPr>
        <w:pStyle w:val="Heading1"/>
        <w:spacing w:before="160" w:after="80"/>
      </w:pPr>
      <w:r>
        <w:t>4. Target End-to-End Enrollment Workflow</w:t>
      </w:r>
    </w:p>
    <w:tbl>
      <w:tblPr>
        <w:tblStyle w:val="TableGrid"/>
        <w:tblW w:type="auto" w:w="0"/>
        <w:tblLook w:firstColumn="1" w:firstRow="1" w:lastColumn="0" w:lastRow="0" w:noHBand="0" w:noVBand="1" w:val="04A0"/>
      </w:tblPr>
      <w:tblGrid>
        <w:gridCol w:w="10656"/>
      </w:tblGrid>
      <w:tr>
        <w:tc>
          <w:tcPr>
            <w:tcW w:type="dxa" w:w="10656"/>
            <w:shd w:fill="E2F0D9"/>
          </w:tcPr>
          <w:p>
            <w:r>
              <w:rPr>
                <w:b/>
                <w:color w:val="1F4E79"/>
                <w:sz w:val="20"/>
              </w:rPr>
              <w:t xml:space="preserve">Workflow principle: </w:t>
            </w:r>
            <w:r>
              <w:rPr>
                <w:sz w:val="20"/>
              </w:rPr>
              <w:t>The MSC enrollment flow is event-driven. The client creates a prospect, receives an ENROLL_PROSPECT JWT, and then submits the owner, beneficiary, bank, allocation, and review-confirm events in sequence. Each event must carry state from the previous response.</w:t>
            </w:r>
          </w:p>
        </w:tc>
      </w:tr>
    </w:tbl>
    <w:p>
      <w:pPr>
        <w:spacing w:after="80"/>
      </w:pP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648"/>
            <w:vAlign w:val="center"/>
            <w:shd w:fill="1F4E79"/>
          </w:tcPr>
          <w:p>
            <w:r/>
            <w:r>
              <w:rPr>
                <w:b/>
                <w:color w:val="FFFFFF"/>
                <w:sz w:val="17"/>
              </w:rPr>
              <w:t>Step</w:t>
            </w:r>
          </w:p>
        </w:tc>
        <w:tc>
          <w:tcPr>
            <w:tcW w:type="dxa" w:w="936"/>
            <w:vAlign w:val="center"/>
            <w:shd w:fill="1F4E79"/>
          </w:tcPr>
          <w:p>
            <w:r/>
            <w:r>
              <w:rPr>
                <w:b/>
                <w:color w:val="FFFFFF"/>
                <w:sz w:val="17"/>
              </w:rPr>
              <w:t>Method</w:t>
            </w:r>
          </w:p>
        </w:tc>
        <w:tc>
          <w:tcPr>
            <w:tcW w:type="dxa" w:w="3528"/>
            <w:vAlign w:val="center"/>
            <w:shd w:fill="1F4E79"/>
          </w:tcPr>
          <w:p>
            <w:r/>
            <w:r>
              <w:rPr>
                <w:b/>
                <w:color w:val="FFFFFF"/>
                <w:sz w:val="17"/>
              </w:rPr>
              <w:t>Endpoint / path</w:t>
            </w:r>
          </w:p>
        </w:tc>
        <w:tc>
          <w:tcPr>
            <w:tcW w:type="dxa" w:w="1440"/>
            <w:vAlign w:val="center"/>
            <w:shd w:fill="1F4E79"/>
          </w:tcPr>
          <w:p>
            <w:r/>
            <w:r>
              <w:rPr>
                <w:b/>
                <w:color w:val="FFFFFF"/>
                <w:sz w:val="17"/>
              </w:rPr>
              <w:t>Auth</w:t>
            </w:r>
          </w:p>
        </w:tc>
        <w:tc>
          <w:tcPr>
            <w:tcW w:type="dxa" w:w="3456"/>
            <w:vAlign w:val="center"/>
            <w:shd w:fill="1F4E79"/>
          </w:tcPr>
          <w:p>
            <w:r/>
            <w:r>
              <w:rPr>
                <w:b/>
                <w:color w:val="FFFFFF"/>
                <w:sz w:val="17"/>
              </w:rPr>
              <w:t>Purpose / implementation note</w:t>
            </w:r>
          </w:p>
        </w:tc>
      </w:tr>
      <w:tr>
        <w:tc>
          <w:tcPr>
            <w:tcW w:type="dxa" w:w="648"/>
            <w:vAlign w:val="center"/>
          </w:tcPr>
          <w:p>
            <w:r/>
            <w:r>
              <w:rPr>
                <w:b w:val="0"/>
                <w:sz w:val="17"/>
              </w:rPr>
              <w:t>01</w:t>
            </w:r>
          </w:p>
        </w:tc>
        <w:tc>
          <w:tcPr>
            <w:tcW w:type="dxa" w:w="936"/>
            <w:vAlign w:val="center"/>
          </w:tcPr>
          <w:p>
            <w:r/>
            <w:r>
              <w:rPr>
                <w:b w:val="0"/>
                <w:sz w:val="17"/>
              </w:rPr>
              <w:t>GET</w:t>
            </w:r>
          </w:p>
        </w:tc>
        <w:tc>
          <w:tcPr>
            <w:tcW w:type="dxa" w:w="3528"/>
            <w:vAlign w:val="center"/>
          </w:tcPr>
          <w:p>
            <w:r/>
            <w:r>
              <w:rPr>
                <w:b w:val="0"/>
                <w:sz w:val="17"/>
              </w:rPr>
              <w:t>/enrollmentapi/v1/certificate</w:t>
            </w:r>
          </w:p>
        </w:tc>
        <w:tc>
          <w:tcPr>
            <w:tcW w:type="dxa" w:w="1440"/>
            <w:vAlign w:val="center"/>
          </w:tcPr>
          <w:p>
            <w:r/>
            <w:r>
              <w:rPr>
                <w:b w:val="0"/>
                <w:sz w:val="17"/>
              </w:rPr>
              <w:t>None</w:t>
            </w:r>
          </w:p>
        </w:tc>
        <w:tc>
          <w:tcPr>
            <w:tcW w:type="dxa" w:w="3456"/>
            <w:vAlign w:val="center"/>
          </w:tcPr>
          <w:p>
            <w:r/>
            <w:r>
              <w:rPr>
                <w:b w:val="0"/>
                <w:sz w:val="17"/>
              </w:rPr>
              <w:t>Fetch certificate and build encAesKey / AES setup. Run before encrypted POSTs.</w:t>
            </w:r>
          </w:p>
        </w:tc>
      </w:tr>
      <w:tr>
        <w:tc>
          <w:tcPr>
            <w:tcW w:type="dxa" w:w="648"/>
            <w:vAlign w:val="center"/>
          </w:tcPr>
          <w:p>
            <w:r/>
            <w:r>
              <w:rPr>
                <w:b w:val="0"/>
                <w:sz w:val="17"/>
              </w:rPr>
              <w:t>02</w:t>
            </w:r>
          </w:p>
        </w:tc>
        <w:tc>
          <w:tcPr>
            <w:tcW w:type="dxa" w:w="936"/>
            <w:vAlign w:val="center"/>
          </w:tcPr>
          <w:p>
            <w:r/>
            <w:r>
              <w:rPr>
                <w:b w:val="0"/>
                <w:sz w:val="17"/>
              </w:rPr>
              <w:t>GET</w:t>
            </w:r>
          </w:p>
        </w:tc>
        <w:tc>
          <w:tcPr>
            <w:tcW w:type="dxa" w:w="3528"/>
            <w:vAlign w:val="center"/>
          </w:tcPr>
          <w:p>
            <w:r/>
            <w:r>
              <w:rPr>
                <w:b w:val="0"/>
                <w:sz w:val="17"/>
              </w:rPr>
              <w:t>/enrollmentapi/v1/usstates</w:t>
            </w:r>
          </w:p>
        </w:tc>
        <w:tc>
          <w:tcPr>
            <w:tcW w:type="dxa" w:w="1440"/>
            <w:vAlign w:val="center"/>
          </w:tcPr>
          <w:p>
            <w:r/>
            <w:r>
              <w:rPr>
                <w:b w:val="0"/>
                <w:sz w:val="17"/>
              </w:rPr>
              <w:t>None</w:t>
            </w:r>
          </w:p>
        </w:tc>
        <w:tc>
          <w:tcPr>
            <w:tcW w:type="dxa" w:w="3456"/>
            <w:vAlign w:val="center"/>
          </w:tcPr>
          <w:p>
            <w:r/>
            <w:r>
              <w:rPr>
                <w:b w:val="0"/>
                <w:sz w:val="17"/>
              </w:rPr>
              <w:t>Load state options for address payloads.</w:t>
            </w:r>
          </w:p>
        </w:tc>
      </w:tr>
      <w:tr>
        <w:tc>
          <w:tcPr>
            <w:tcW w:type="dxa" w:w="648"/>
            <w:vAlign w:val="center"/>
          </w:tcPr>
          <w:p>
            <w:r/>
            <w:r>
              <w:rPr>
                <w:b w:val="0"/>
                <w:sz w:val="17"/>
              </w:rPr>
              <w:t>03</w:t>
            </w:r>
          </w:p>
        </w:tc>
        <w:tc>
          <w:tcPr>
            <w:tcW w:type="dxa" w:w="936"/>
            <w:vAlign w:val="center"/>
          </w:tcPr>
          <w:p>
            <w:r/>
            <w:r>
              <w:rPr>
                <w:b w:val="0"/>
                <w:sz w:val="17"/>
              </w:rPr>
              <w:t>GET</w:t>
            </w:r>
          </w:p>
        </w:tc>
        <w:tc>
          <w:tcPr>
            <w:tcW w:type="dxa" w:w="3528"/>
            <w:vAlign w:val="center"/>
          </w:tcPr>
          <w:p>
            <w:r/>
            <w:r>
              <w:rPr>
                <w:b w:val="0"/>
                <w:sz w:val="17"/>
              </w:rPr>
              <w:t>/enrollmentapi/v1/plans</w:t>
            </w:r>
          </w:p>
        </w:tc>
        <w:tc>
          <w:tcPr>
            <w:tcW w:type="dxa" w:w="1440"/>
            <w:vAlign w:val="center"/>
          </w:tcPr>
          <w:p>
            <w:r/>
            <w:r>
              <w:rPr>
                <w:b w:val="0"/>
                <w:sz w:val="17"/>
              </w:rPr>
              <w:t>None</w:t>
            </w:r>
          </w:p>
        </w:tc>
        <w:tc>
          <w:tcPr>
            <w:tcW w:type="dxa" w:w="3456"/>
            <w:vAlign w:val="center"/>
          </w:tcPr>
          <w:p>
            <w:r/>
            <w:r>
              <w:rPr>
                <w:b w:val="0"/>
                <w:sz w:val="17"/>
              </w:rPr>
              <w:t>List enabled plans. Use read-only automation first.</w:t>
            </w:r>
          </w:p>
        </w:tc>
      </w:tr>
      <w:tr>
        <w:tc>
          <w:tcPr>
            <w:tcW w:type="dxa" w:w="648"/>
            <w:vAlign w:val="center"/>
          </w:tcPr>
          <w:p>
            <w:r/>
            <w:r>
              <w:rPr>
                <w:b w:val="0"/>
                <w:sz w:val="17"/>
              </w:rPr>
              <w:t>04</w:t>
            </w:r>
          </w:p>
        </w:tc>
        <w:tc>
          <w:tcPr>
            <w:tcW w:type="dxa" w:w="936"/>
            <w:vAlign w:val="center"/>
          </w:tcPr>
          <w:p>
            <w:r/>
            <w:r>
              <w:rPr>
                <w:b w:val="0"/>
                <w:sz w:val="17"/>
              </w:rPr>
              <w:t>GET</w:t>
            </w:r>
          </w:p>
        </w:tc>
        <w:tc>
          <w:tcPr>
            <w:tcW w:type="dxa" w:w="3528"/>
            <w:vAlign w:val="center"/>
          </w:tcPr>
          <w:p>
            <w:r/>
            <w:r>
              <w:rPr>
                <w:b w:val="0"/>
                <w:sz w:val="17"/>
              </w:rPr>
              <w:t>/enrollmentapi/v1/plans/{planId}</w:t>
            </w:r>
          </w:p>
        </w:tc>
        <w:tc>
          <w:tcPr>
            <w:tcW w:type="dxa" w:w="1440"/>
            <w:vAlign w:val="center"/>
          </w:tcPr>
          <w:p>
            <w:r/>
            <w:r>
              <w:rPr>
                <w:b w:val="0"/>
                <w:sz w:val="17"/>
              </w:rPr>
              <w:t>None + x-app-version</w:t>
            </w:r>
          </w:p>
        </w:tc>
        <w:tc>
          <w:tcPr>
            <w:tcW w:type="dxa" w:w="3456"/>
            <w:vAlign w:val="center"/>
          </w:tcPr>
          <w:p>
            <w:r/>
            <w:r>
              <w:rPr>
                <w:b w:val="0"/>
                <w:sz w:val="17"/>
              </w:rPr>
              <w:t>Fetch plan branding, metadata, and fund info. Confirm planId/branding such as okdirect.</w:t>
            </w:r>
          </w:p>
        </w:tc>
      </w:tr>
      <w:tr>
        <w:tc>
          <w:tcPr>
            <w:tcW w:type="dxa" w:w="648"/>
            <w:vAlign w:val="center"/>
          </w:tcPr>
          <w:p>
            <w:r/>
            <w:r>
              <w:rPr>
                <w:b w:val="0"/>
                <w:sz w:val="17"/>
              </w:rPr>
              <w:t>05</w:t>
            </w:r>
          </w:p>
        </w:tc>
        <w:tc>
          <w:tcPr>
            <w:tcW w:type="dxa" w:w="936"/>
            <w:vAlign w:val="center"/>
          </w:tcPr>
          <w:p>
            <w:r/>
            <w:r>
              <w:rPr>
                <w:b w:val="0"/>
                <w:sz w:val="17"/>
              </w:rPr>
              <w:t>POST</w:t>
            </w:r>
          </w:p>
        </w:tc>
        <w:tc>
          <w:tcPr>
            <w:tcW w:type="dxa" w:w="3528"/>
            <w:vAlign w:val="center"/>
          </w:tcPr>
          <w:p>
            <w:r/>
            <w:r>
              <w:rPr>
                <w:b w:val="0"/>
                <w:sz w:val="17"/>
              </w:rPr>
              <w:t>/enrollmentapi/v1/enrollments/prospects</w:t>
            </w:r>
          </w:p>
        </w:tc>
        <w:tc>
          <w:tcPr>
            <w:tcW w:type="dxa" w:w="1440"/>
            <w:vAlign w:val="center"/>
          </w:tcPr>
          <w:p>
            <w:r/>
            <w:r>
              <w:rPr>
                <w:b w:val="0"/>
                <w:sz w:val="17"/>
              </w:rPr>
              <w:t>None</w:t>
            </w:r>
          </w:p>
        </w:tc>
        <w:tc>
          <w:tcPr>
            <w:tcW w:type="dxa" w:w="3456"/>
            <w:vAlign w:val="center"/>
          </w:tcPr>
          <w:p>
            <w:r/>
            <w:r>
              <w:rPr>
                <w:b w:val="0"/>
                <w:sz w:val="17"/>
              </w:rPr>
              <w:t>Create prospect. Returns ENROLL_PROSPECT JWT in x-enc-jwttoken/body jwtToken.</w:t>
            </w:r>
          </w:p>
        </w:tc>
      </w:tr>
      <w:tr>
        <w:tc>
          <w:tcPr>
            <w:tcW w:type="dxa" w:w="648"/>
            <w:vAlign w:val="center"/>
          </w:tcPr>
          <w:p>
            <w:r/>
            <w:r>
              <w:rPr>
                <w:b w:val="0"/>
                <w:sz w:val="17"/>
              </w:rPr>
              <w:t>06</w:t>
            </w:r>
          </w:p>
        </w:tc>
        <w:tc>
          <w:tcPr>
            <w:tcW w:type="dxa" w:w="936"/>
            <w:vAlign w:val="center"/>
          </w:tcPr>
          <w:p>
            <w:r/>
            <w:r>
              <w:rPr>
                <w:b w:val="0"/>
                <w:sz w:val="17"/>
              </w:rPr>
              <w:t>POST</w:t>
            </w:r>
          </w:p>
        </w:tc>
        <w:tc>
          <w:tcPr>
            <w:tcW w:type="dxa" w:w="3528"/>
            <w:vAlign w:val="center"/>
          </w:tcPr>
          <w:p>
            <w:r/>
            <w:r>
              <w:rPr>
                <w:b w:val="0"/>
                <w:sz w:val="17"/>
              </w:rPr>
              <w:t>/enrollmentapi/v1/enrollments/enrollment/owner-entered</w:t>
            </w:r>
          </w:p>
        </w:tc>
        <w:tc>
          <w:tcPr>
            <w:tcW w:type="dxa" w:w="1440"/>
            <w:vAlign w:val="center"/>
          </w:tcPr>
          <w:p>
            <w:r/>
            <w:r>
              <w:rPr>
                <w:b w:val="0"/>
                <w:sz w:val="17"/>
              </w:rPr>
              <w:t>Bearer JWT</w:t>
            </w:r>
          </w:p>
        </w:tc>
        <w:tc>
          <w:tcPr>
            <w:tcW w:type="dxa" w:w="3456"/>
            <w:vAlign w:val="center"/>
          </w:tcPr>
          <w:p>
            <w:r/>
            <w:r>
              <w:rPr>
                <w:b w:val="0"/>
                <w:sz w:val="17"/>
              </w:rPr>
              <w:t>Submit owner identity fields. Encrypted PII.</w:t>
            </w:r>
          </w:p>
        </w:tc>
      </w:tr>
      <w:tr>
        <w:tc>
          <w:tcPr>
            <w:tcW w:type="dxa" w:w="648"/>
            <w:vAlign w:val="center"/>
          </w:tcPr>
          <w:p>
            <w:r/>
            <w:r>
              <w:rPr>
                <w:b w:val="0"/>
                <w:sz w:val="17"/>
              </w:rPr>
              <w:t>07</w:t>
            </w:r>
          </w:p>
        </w:tc>
        <w:tc>
          <w:tcPr>
            <w:tcW w:type="dxa" w:w="936"/>
            <w:vAlign w:val="center"/>
          </w:tcPr>
          <w:p>
            <w:r/>
            <w:r>
              <w:rPr>
                <w:b w:val="0"/>
                <w:sz w:val="17"/>
              </w:rPr>
              <w:t>POST</w:t>
            </w:r>
          </w:p>
        </w:tc>
        <w:tc>
          <w:tcPr>
            <w:tcW w:type="dxa" w:w="3528"/>
            <w:vAlign w:val="center"/>
          </w:tcPr>
          <w:p>
            <w:r/>
            <w:r>
              <w:rPr>
                <w:b w:val="0"/>
                <w:sz w:val="17"/>
              </w:rPr>
              <w:t>/enrollmentapi/v1/enrollments/enrollment/owner-address-entered</w:t>
            </w:r>
          </w:p>
        </w:tc>
        <w:tc>
          <w:tcPr>
            <w:tcW w:type="dxa" w:w="1440"/>
            <w:vAlign w:val="center"/>
          </w:tcPr>
          <w:p>
            <w:r/>
            <w:r>
              <w:rPr>
                <w:b w:val="0"/>
                <w:sz w:val="17"/>
              </w:rPr>
              <w:t>Bearer JWT</w:t>
            </w:r>
          </w:p>
        </w:tc>
        <w:tc>
          <w:tcPr>
            <w:tcW w:type="dxa" w:w="3456"/>
            <w:vAlign w:val="center"/>
          </w:tcPr>
          <w:p>
            <w:r/>
            <w:r>
              <w:rPr>
                <w:b w:val="0"/>
                <w:sz w:val="17"/>
              </w:rPr>
              <w:t>Submit owner mailing/permanent address.</w:t>
            </w:r>
          </w:p>
        </w:tc>
      </w:tr>
      <w:tr>
        <w:tc>
          <w:tcPr>
            <w:tcW w:type="dxa" w:w="648"/>
            <w:vAlign w:val="center"/>
          </w:tcPr>
          <w:p>
            <w:r/>
            <w:r>
              <w:rPr>
                <w:b w:val="0"/>
                <w:sz w:val="17"/>
              </w:rPr>
              <w:t>08</w:t>
            </w:r>
          </w:p>
        </w:tc>
        <w:tc>
          <w:tcPr>
            <w:tcW w:type="dxa" w:w="936"/>
            <w:vAlign w:val="center"/>
          </w:tcPr>
          <w:p>
            <w:r/>
            <w:r>
              <w:rPr>
                <w:b w:val="0"/>
                <w:sz w:val="17"/>
              </w:rPr>
              <w:t>POST</w:t>
            </w:r>
          </w:p>
        </w:tc>
        <w:tc>
          <w:tcPr>
            <w:tcW w:type="dxa" w:w="3528"/>
            <w:vAlign w:val="center"/>
          </w:tcPr>
          <w:p>
            <w:r/>
            <w:r>
              <w:rPr>
                <w:b w:val="0"/>
                <w:sz w:val="17"/>
              </w:rPr>
              <w:t>/enrollmentapi/v1/enrollments/enrollment/beneficiary-entered</w:t>
            </w:r>
          </w:p>
        </w:tc>
        <w:tc>
          <w:tcPr>
            <w:tcW w:type="dxa" w:w="1440"/>
            <w:vAlign w:val="center"/>
          </w:tcPr>
          <w:p>
            <w:r/>
            <w:r>
              <w:rPr>
                <w:b w:val="0"/>
                <w:sz w:val="17"/>
              </w:rPr>
              <w:t>Bearer JWT</w:t>
            </w:r>
          </w:p>
        </w:tc>
        <w:tc>
          <w:tcPr>
            <w:tcW w:type="dxa" w:w="3456"/>
            <w:vAlign w:val="center"/>
          </w:tcPr>
          <w:p>
            <w:r/>
            <w:r>
              <w:rPr>
                <w:b w:val="0"/>
                <w:sz w:val="17"/>
              </w:rPr>
              <w:t>Submit beneficiary data. Must use unique SSN relative to owner/other beneficiaries.</w:t>
            </w:r>
          </w:p>
        </w:tc>
      </w:tr>
      <w:tr>
        <w:tc>
          <w:tcPr>
            <w:tcW w:type="dxa" w:w="648"/>
            <w:vAlign w:val="center"/>
          </w:tcPr>
          <w:p>
            <w:r/>
            <w:r>
              <w:rPr>
                <w:b w:val="0"/>
                <w:sz w:val="17"/>
              </w:rPr>
              <w:t>09</w:t>
            </w:r>
          </w:p>
        </w:tc>
        <w:tc>
          <w:tcPr>
            <w:tcW w:type="dxa" w:w="936"/>
            <w:vAlign w:val="center"/>
          </w:tcPr>
          <w:p>
            <w:r/>
            <w:r>
              <w:rPr>
                <w:b w:val="0"/>
                <w:sz w:val="17"/>
              </w:rPr>
              <w:t>POST</w:t>
            </w:r>
          </w:p>
        </w:tc>
        <w:tc>
          <w:tcPr>
            <w:tcW w:type="dxa" w:w="3528"/>
            <w:vAlign w:val="center"/>
          </w:tcPr>
          <w:p>
            <w:r/>
            <w:r>
              <w:rPr>
                <w:b w:val="0"/>
                <w:sz w:val="17"/>
              </w:rPr>
              <w:t>/enrollmentapi/v1/verify/routingnumber</w:t>
            </w:r>
          </w:p>
        </w:tc>
        <w:tc>
          <w:tcPr>
            <w:tcW w:type="dxa" w:w="1440"/>
            <w:vAlign w:val="center"/>
          </w:tcPr>
          <w:p>
            <w:r/>
            <w:r>
              <w:rPr>
                <w:b w:val="0"/>
                <w:sz w:val="17"/>
              </w:rPr>
              <w:t>Bearer JWT</w:t>
            </w:r>
          </w:p>
        </w:tc>
        <w:tc>
          <w:tcPr>
            <w:tcW w:type="dxa" w:w="3456"/>
            <w:vAlign w:val="center"/>
          </w:tcPr>
          <w:p>
            <w:r/>
            <w:r>
              <w:rPr>
                <w:b w:val="0"/>
                <w:sz w:val="17"/>
              </w:rPr>
              <w:t>Optional bank routing validation.</w:t>
            </w:r>
          </w:p>
        </w:tc>
      </w:tr>
      <w:tr>
        <w:tc>
          <w:tcPr>
            <w:tcW w:type="dxa" w:w="648"/>
            <w:vAlign w:val="center"/>
          </w:tcPr>
          <w:p>
            <w:r/>
            <w:r>
              <w:rPr>
                <w:b w:val="0"/>
                <w:sz w:val="17"/>
              </w:rPr>
              <w:t>10</w:t>
            </w:r>
          </w:p>
        </w:tc>
        <w:tc>
          <w:tcPr>
            <w:tcW w:type="dxa" w:w="936"/>
            <w:vAlign w:val="center"/>
          </w:tcPr>
          <w:p>
            <w:r/>
            <w:r>
              <w:rPr>
                <w:b w:val="0"/>
                <w:sz w:val="17"/>
              </w:rPr>
              <w:t>POST</w:t>
            </w:r>
          </w:p>
        </w:tc>
        <w:tc>
          <w:tcPr>
            <w:tcW w:type="dxa" w:w="3528"/>
            <w:vAlign w:val="center"/>
          </w:tcPr>
          <w:p>
            <w:r/>
            <w:r>
              <w:rPr>
                <w:b w:val="0"/>
                <w:sz w:val="17"/>
              </w:rPr>
              <w:t>/enrollmentapi/v1/enrollments/enrollment/bank-entered</w:t>
            </w:r>
          </w:p>
        </w:tc>
        <w:tc>
          <w:tcPr>
            <w:tcW w:type="dxa" w:w="1440"/>
            <w:vAlign w:val="center"/>
          </w:tcPr>
          <w:p>
            <w:r/>
            <w:r>
              <w:rPr>
                <w:b w:val="0"/>
                <w:sz w:val="17"/>
              </w:rPr>
              <w:t>Bearer JWT</w:t>
            </w:r>
          </w:p>
        </w:tc>
        <w:tc>
          <w:tcPr>
            <w:tcW w:type="dxa" w:w="3456"/>
            <w:vAlign w:val="center"/>
          </w:tcPr>
          <w:p>
            <w:r/>
            <w:r>
              <w:rPr>
                <w:b w:val="0"/>
                <w:sz w:val="17"/>
              </w:rPr>
              <w:t>Submit bank and one-time contribution information.</w:t>
            </w:r>
          </w:p>
        </w:tc>
      </w:tr>
      <w:tr>
        <w:tc>
          <w:tcPr>
            <w:tcW w:type="dxa" w:w="648"/>
            <w:vAlign w:val="center"/>
          </w:tcPr>
          <w:p>
            <w:r/>
            <w:r>
              <w:rPr>
                <w:b w:val="0"/>
                <w:sz w:val="17"/>
              </w:rPr>
              <w:t>11</w:t>
            </w:r>
          </w:p>
        </w:tc>
        <w:tc>
          <w:tcPr>
            <w:tcW w:type="dxa" w:w="936"/>
            <w:vAlign w:val="center"/>
          </w:tcPr>
          <w:p>
            <w:r/>
            <w:r>
              <w:rPr>
                <w:b w:val="0"/>
                <w:sz w:val="17"/>
              </w:rPr>
              <w:t>POST</w:t>
            </w:r>
          </w:p>
        </w:tc>
        <w:tc>
          <w:tcPr>
            <w:tcW w:type="dxa" w:w="3528"/>
            <w:vAlign w:val="center"/>
          </w:tcPr>
          <w:p>
            <w:r/>
            <w:r>
              <w:rPr>
                <w:b w:val="0"/>
                <w:sz w:val="17"/>
              </w:rPr>
              <w:t>/enrollmentapi/v1/enrollments/enrollment/recurring-contribution-entered</w:t>
            </w:r>
          </w:p>
        </w:tc>
        <w:tc>
          <w:tcPr>
            <w:tcW w:type="dxa" w:w="1440"/>
            <w:vAlign w:val="center"/>
          </w:tcPr>
          <w:p>
            <w:r/>
            <w:r>
              <w:rPr>
                <w:b w:val="0"/>
                <w:sz w:val="17"/>
              </w:rPr>
              <w:t>Bearer JWT</w:t>
            </w:r>
          </w:p>
        </w:tc>
        <w:tc>
          <w:tcPr>
            <w:tcW w:type="dxa" w:w="3456"/>
            <w:vAlign w:val="center"/>
          </w:tcPr>
          <w:p>
            <w:r/>
            <w:r>
              <w:rPr>
                <w:b w:val="0"/>
                <w:sz w:val="17"/>
              </w:rPr>
              <w:t>Optional recurring contribution/AIP.</w:t>
            </w:r>
          </w:p>
        </w:tc>
      </w:tr>
      <w:tr>
        <w:tc>
          <w:tcPr>
            <w:tcW w:type="dxa" w:w="648"/>
            <w:vAlign w:val="center"/>
          </w:tcPr>
          <w:p>
            <w:r/>
            <w:r>
              <w:rPr>
                <w:b w:val="0"/>
                <w:sz w:val="17"/>
              </w:rPr>
              <w:t>12</w:t>
            </w:r>
          </w:p>
        </w:tc>
        <w:tc>
          <w:tcPr>
            <w:tcW w:type="dxa" w:w="936"/>
            <w:vAlign w:val="center"/>
          </w:tcPr>
          <w:p>
            <w:r/>
            <w:r>
              <w:rPr>
                <w:b w:val="0"/>
                <w:sz w:val="17"/>
              </w:rPr>
              <w:t>POST</w:t>
            </w:r>
          </w:p>
        </w:tc>
        <w:tc>
          <w:tcPr>
            <w:tcW w:type="dxa" w:w="3528"/>
            <w:vAlign w:val="center"/>
          </w:tcPr>
          <w:p>
            <w:r/>
            <w:r>
              <w:rPr>
                <w:b w:val="0"/>
                <w:sz w:val="17"/>
              </w:rPr>
              <w:t>/enrollmentapi/v1/enrollments/enrollment/allocations-entered</w:t>
            </w:r>
          </w:p>
        </w:tc>
        <w:tc>
          <w:tcPr>
            <w:tcW w:type="dxa" w:w="1440"/>
            <w:vAlign w:val="center"/>
          </w:tcPr>
          <w:p>
            <w:r/>
            <w:r>
              <w:rPr>
                <w:b w:val="0"/>
                <w:sz w:val="17"/>
              </w:rPr>
              <w:t>Bearer JWT</w:t>
            </w:r>
          </w:p>
        </w:tc>
        <w:tc>
          <w:tcPr>
            <w:tcW w:type="dxa" w:w="3456"/>
            <w:vAlign w:val="center"/>
          </w:tcPr>
          <w:p>
            <w:r/>
            <w:r>
              <w:rPr>
                <w:b w:val="0"/>
                <w:sz w:val="17"/>
              </w:rPr>
              <w:t>Submit fund allocation percentages.</w:t>
            </w:r>
          </w:p>
        </w:tc>
      </w:tr>
      <w:tr>
        <w:tc>
          <w:tcPr>
            <w:tcW w:type="dxa" w:w="648"/>
            <w:vAlign w:val="center"/>
          </w:tcPr>
          <w:p>
            <w:r/>
            <w:r>
              <w:rPr>
                <w:b w:val="0"/>
                <w:sz w:val="17"/>
              </w:rPr>
              <w:t>13</w:t>
            </w:r>
          </w:p>
        </w:tc>
        <w:tc>
          <w:tcPr>
            <w:tcW w:type="dxa" w:w="936"/>
            <w:vAlign w:val="center"/>
          </w:tcPr>
          <w:p>
            <w:r/>
            <w:r>
              <w:rPr>
                <w:b w:val="0"/>
                <w:sz w:val="17"/>
              </w:rPr>
              <w:t>POST</w:t>
            </w:r>
          </w:p>
        </w:tc>
        <w:tc>
          <w:tcPr>
            <w:tcW w:type="dxa" w:w="3528"/>
            <w:vAlign w:val="center"/>
          </w:tcPr>
          <w:p>
            <w:r/>
            <w:r>
              <w:rPr>
                <w:b w:val="0"/>
                <w:sz w:val="17"/>
              </w:rPr>
              <w:t>/enrollmentapi/v1/enrollments/enrollment/review-confirm-entered</w:t>
            </w:r>
          </w:p>
        </w:tc>
        <w:tc>
          <w:tcPr>
            <w:tcW w:type="dxa" w:w="1440"/>
            <w:vAlign w:val="center"/>
          </w:tcPr>
          <w:p>
            <w:r/>
            <w:r>
              <w:rPr>
                <w:b w:val="0"/>
                <w:sz w:val="17"/>
              </w:rPr>
              <w:t>Bearer JWT</w:t>
            </w:r>
          </w:p>
        </w:tc>
        <w:tc>
          <w:tcPr>
            <w:tcW w:type="dxa" w:w="3456"/>
            <w:vAlign w:val="center"/>
          </w:tcPr>
          <w:p>
            <w:r/>
            <w:r>
              <w:rPr>
                <w:b w:val="0"/>
                <w:sz w:val="17"/>
              </w:rPr>
              <w:t>Final submit. Account creation should occur here.</w:t>
            </w:r>
          </w:p>
        </w:tc>
      </w:tr>
    </w:tbl>
    <w:p>
      <w:pPr>
        <w:spacing w:after="80"/>
      </w:pPr>
    </w:p>
    <w:p>
      <w:pPr>
        <w:pStyle w:val="Heading1"/>
        <w:spacing w:before="160" w:after="80"/>
      </w:pPr>
      <w:r>
        <w:t>5. Pieces in the Workflow</w:t>
      </w:r>
    </w:p>
    <w:tbl>
      <w:tblPr>
        <w:tblStyle w:val="TableGrid"/>
        <w:tblW w:type="auto" w:w="0"/>
        <w:jc w:val="center"/>
        <w:tblLook w:firstColumn="1" w:firstRow="1" w:lastColumn="0" w:lastRow="0" w:noHBand="0" w:noVBand="1" w:val="04A0"/>
      </w:tblPr>
      <w:tblGrid>
        <w:gridCol w:w="3552"/>
        <w:gridCol w:w="3552"/>
        <w:gridCol w:w="3552"/>
      </w:tblGrid>
      <w:tr>
        <w:tc>
          <w:tcPr>
            <w:tcW w:type="dxa" w:w="2448"/>
            <w:vAlign w:val="center"/>
            <w:shd w:fill="1F4E79"/>
          </w:tcPr>
          <w:p>
            <w:r/>
            <w:r>
              <w:rPr>
                <w:b/>
                <w:color w:val="FFFFFF"/>
                <w:sz w:val="17"/>
              </w:rPr>
              <w:t>Piece</w:t>
            </w:r>
          </w:p>
        </w:tc>
        <w:tc>
          <w:tcPr>
            <w:tcW w:type="dxa" w:w="3168"/>
            <w:vAlign w:val="center"/>
            <w:shd w:fill="1F4E79"/>
          </w:tcPr>
          <w:p>
            <w:r/>
            <w:r>
              <w:rPr>
                <w:b/>
                <w:color w:val="FFFFFF"/>
                <w:sz w:val="17"/>
              </w:rPr>
              <w:t>Role</w:t>
            </w:r>
          </w:p>
        </w:tc>
        <w:tc>
          <w:tcPr>
            <w:tcW w:type="dxa" w:w="4320"/>
            <w:vAlign w:val="center"/>
            <w:shd w:fill="1F4E79"/>
          </w:tcPr>
          <w:p>
            <w:r/>
            <w:r>
              <w:rPr>
                <w:b/>
                <w:color w:val="FFFFFF"/>
                <w:sz w:val="17"/>
              </w:rPr>
              <w:t>What must happen</w:t>
            </w:r>
          </w:p>
        </w:tc>
      </w:tr>
      <w:tr>
        <w:tc>
          <w:tcPr>
            <w:tcW w:type="dxa" w:w="2448"/>
            <w:vAlign w:val="center"/>
          </w:tcPr>
          <w:p>
            <w:r/>
            <w:r>
              <w:rPr>
                <w:b w:val="0"/>
                <w:sz w:val="17"/>
              </w:rPr>
              <w:t>Enrollment BFF / unite-enrollment</w:t>
            </w:r>
          </w:p>
        </w:tc>
        <w:tc>
          <w:tcPr>
            <w:tcW w:type="dxa" w:w="3168"/>
            <w:vAlign w:val="center"/>
          </w:tcPr>
          <w:p>
            <w:r/>
            <w:r>
              <w:rPr>
                <w:b w:val="0"/>
                <w:sz w:val="17"/>
              </w:rPr>
              <w:t>Receives mobile MSC enrollment requests under /enrollmentapi/v1.</w:t>
            </w:r>
          </w:p>
        </w:tc>
        <w:tc>
          <w:tcPr>
            <w:tcW w:type="dxa" w:w="4320"/>
            <w:vAlign w:val="center"/>
          </w:tcPr>
          <w:p>
            <w:r/>
            <w:r>
              <w:rPr>
                <w:b w:val="0"/>
                <w:sz w:val="17"/>
              </w:rPr>
              <w:t>Must support Stage1 execution for certificate, plans, prospect, event chain, and review-confirm.</w:t>
            </w:r>
          </w:p>
        </w:tc>
      </w:tr>
      <w:tr>
        <w:tc>
          <w:tcPr>
            <w:tcW w:type="dxa" w:w="2448"/>
            <w:vAlign w:val="center"/>
          </w:tcPr>
          <w:p>
            <w:r/>
            <w:r>
              <w:rPr>
                <w:b w:val="0"/>
                <w:sz w:val="17"/>
              </w:rPr>
              <w:t>Encryption helper / jsonapi-encryption</w:t>
            </w:r>
          </w:p>
        </w:tc>
        <w:tc>
          <w:tcPr>
            <w:tcW w:type="dxa" w:w="3168"/>
            <w:vAlign w:val="center"/>
          </w:tcPr>
          <w:p>
            <w:r/>
            <w:r>
              <w:rPr>
                <w:b w:val="0"/>
                <w:sz w:val="17"/>
              </w:rPr>
              <w:t>Fetches certificate, creates encrypted payload values, supports mobile encryption/decryption JAR/utility path.</w:t>
            </w:r>
          </w:p>
        </w:tc>
        <w:tc>
          <w:tcPr>
            <w:tcW w:type="dxa" w:w="4320"/>
            <w:vAlign w:val="center"/>
          </w:tcPr>
          <w:p>
            <w:r/>
            <w:r>
              <w:rPr>
                <w:b w:val="0"/>
                <w:sz w:val="17"/>
              </w:rPr>
              <w:t>Reuse existing library instead of custom one-off Postman logic where possible.</w:t>
            </w:r>
          </w:p>
        </w:tc>
      </w:tr>
      <w:tr>
        <w:tc>
          <w:tcPr>
            <w:tcW w:type="dxa" w:w="2448"/>
            <w:vAlign w:val="center"/>
          </w:tcPr>
          <w:p>
            <w:r/>
            <w:r>
              <w:rPr>
                <w:b w:val="0"/>
                <w:sz w:val="17"/>
              </w:rPr>
              <w:t>Postman collection + environment</w:t>
            </w:r>
          </w:p>
        </w:tc>
        <w:tc>
          <w:tcPr>
            <w:tcW w:type="dxa" w:w="3168"/>
            <w:vAlign w:val="center"/>
          </w:tcPr>
          <w:p>
            <w:r/>
            <w:r>
              <w:rPr>
                <w:b w:val="0"/>
                <w:sz w:val="17"/>
              </w:rPr>
              <w:t>Manual smoke and debugging asset.</w:t>
            </w:r>
          </w:p>
        </w:tc>
        <w:tc>
          <w:tcPr>
            <w:tcW w:type="dxa" w:w="4320"/>
            <w:vAlign w:val="center"/>
          </w:tcPr>
          <w:p>
            <w:r/>
            <w:r>
              <w:rPr>
                <w:b w:val="0"/>
                <w:sz w:val="17"/>
              </w:rPr>
              <w:t>Keep Stage1 environment clean, reliable, and aligned to exact payload variable names used by the collection.</w:t>
            </w:r>
          </w:p>
        </w:tc>
      </w:tr>
      <w:tr>
        <w:tc>
          <w:tcPr>
            <w:tcW w:type="dxa" w:w="2448"/>
            <w:vAlign w:val="center"/>
          </w:tcPr>
          <w:p>
            <w:r/>
            <w:r>
              <w:rPr>
                <w:b w:val="0"/>
                <w:sz w:val="17"/>
              </w:rPr>
              <w:t>run-flow.ps1</w:t>
            </w:r>
          </w:p>
        </w:tc>
        <w:tc>
          <w:tcPr>
            <w:tcW w:type="dxa" w:w="3168"/>
            <w:vAlign w:val="center"/>
          </w:tcPr>
          <w:p>
            <w:r/>
            <w:r>
              <w:rPr>
                <w:b w:val="0"/>
                <w:sz w:val="17"/>
              </w:rPr>
              <w:t>Headless smoke runner for the Postman flow.</w:t>
            </w:r>
          </w:p>
        </w:tc>
        <w:tc>
          <w:tcPr>
            <w:tcW w:type="dxa" w:w="4320"/>
            <w:vAlign w:val="center"/>
          </w:tcPr>
          <w:p>
            <w:r/>
            <w:r>
              <w:rPr>
                <w:b w:val="0"/>
                <w:sz w:val="17"/>
              </w:rPr>
              <w:t>Use it as the source pattern for automation orchestration and state chaining.</w:t>
            </w:r>
          </w:p>
        </w:tc>
      </w:tr>
      <w:tr>
        <w:tc>
          <w:tcPr>
            <w:tcW w:type="dxa" w:w="2448"/>
            <w:vAlign w:val="center"/>
          </w:tcPr>
          <w:p>
            <w:r/>
            <w:r>
              <w:rPr>
                <w:b w:val="0"/>
                <w:sz w:val="17"/>
              </w:rPr>
              <w:t>Test data generator</w:t>
            </w:r>
          </w:p>
        </w:tc>
        <w:tc>
          <w:tcPr>
            <w:tcW w:type="dxa" w:w="3168"/>
            <w:vAlign w:val="center"/>
          </w:tcPr>
          <w:p>
            <w:r/>
            <w:r>
              <w:rPr>
                <w:b w:val="0"/>
                <w:sz w:val="17"/>
              </w:rPr>
              <w:t>Creates unique username, email, SSN, and related fields per run.</w:t>
            </w:r>
          </w:p>
        </w:tc>
        <w:tc>
          <w:tcPr>
            <w:tcW w:type="dxa" w:w="4320"/>
            <w:vAlign w:val="center"/>
          </w:tcPr>
          <w:p>
            <w:r/>
            <w:r>
              <w:rPr>
                <w:b w:val="0"/>
                <w:sz w:val="17"/>
              </w:rPr>
              <w:t>Avoid duplicate-user failures by generating fresh data before encryption.</w:t>
            </w:r>
          </w:p>
        </w:tc>
      </w:tr>
      <w:tr>
        <w:tc>
          <w:tcPr>
            <w:tcW w:type="dxa" w:w="2448"/>
            <w:vAlign w:val="center"/>
          </w:tcPr>
          <w:p>
            <w:r/>
            <w:r>
              <w:rPr>
                <w:b w:val="0"/>
                <w:sz w:val="17"/>
              </w:rPr>
              <w:t>JWT capture</w:t>
            </w:r>
          </w:p>
        </w:tc>
        <w:tc>
          <w:tcPr>
            <w:tcW w:type="dxa" w:w="3168"/>
            <w:vAlign w:val="center"/>
          </w:tcPr>
          <w:p>
            <w:r/>
            <w:r>
              <w:rPr>
                <w:b w:val="0"/>
                <w:sz w:val="17"/>
              </w:rPr>
              <w:t>Stores ENROLL_PROSPECT token from create prospect.</w:t>
            </w:r>
          </w:p>
        </w:tc>
        <w:tc>
          <w:tcPr>
            <w:tcW w:type="dxa" w:w="4320"/>
            <w:vAlign w:val="center"/>
          </w:tcPr>
          <w:p>
            <w:r/>
            <w:r>
              <w:rPr>
                <w:b w:val="0"/>
                <w:sz w:val="17"/>
              </w:rPr>
              <w:t>Use only prospect JWT for enrollment event steps.</w:t>
            </w:r>
          </w:p>
        </w:tc>
      </w:tr>
      <w:tr>
        <w:tc>
          <w:tcPr>
            <w:tcW w:type="dxa" w:w="2448"/>
            <w:vAlign w:val="center"/>
          </w:tcPr>
          <w:p>
            <w:r/>
            <w:r>
              <w:rPr>
                <w:b w:val="0"/>
                <w:sz w:val="17"/>
              </w:rPr>
              <w:t>State manager</w:t>
            </w:r>
          </w:p>
        </w:tc>
        <w:tc>
          <w:tcPr>
            <w:tcW w:type="dxa" w:w="3168"/>
            <w:vAlign w:val="center"/>
          </w:tcPr>
          <w:p>
            <w:r/>
            <w:r>
              <w:rPr>
                <w:b w:val="0"/>
                <w:sz w:val="17"/>
              </w:rPr>
              <w:t>Carries correlationId, eventId, seqNum, parent, and prior enrollment state.</w:t>
            </w:r>
          </w:p>
        </w:tc>
        <w:tc>
          <w:tcPr>
            <w:tcW w:type="dxa" w:w="4320"/>
            <w:vAlign w:val="center"/>
          </w:tcPr>
          <w:p>
            <w:r/>
            <w:r>
              <w:rPr>
                <w:b w:val="0"/>
                <w:sz w:val="17"/>
              </w:rPr>
              <w:t>Every event after prospect creation must use prior response metadata.</w:t>
            </w:r>
          </w:p>
        </w:tc>
      </w:tr>
      <w:tr>
        <w:tc>
          <w:tcPr>
            <w:tcW w:type="dxa" w:w="2448"/>
            <w:vAlign w:val="center"/>
          </w:tcPr>
          <w:p>
            <w:r/>
            <w:r>
              <w:rPr>
                <w:b w:val="0"/>
                <w:sz w:val="17"/>
              </w:rPr>
              <w:t>Splunk/logs</w:t>
            </w:r>
          </w:p>
        </w:tc>
        <w:tc>
          <w:tcPr>
            <w:tcW w:type="dxa" w:w="3168"/>
            <w:vAlign w:val="center"/>
          </w:tcPr>
          <w:p>
            <w:r/>
            <w:r>
              <w:rPr>
                <w:b w:val="0"/>
                <w:sz w:val="17"/>
              </w:rPr>
              <w:t>Backend failure diagnosis.</w:t>
            </w:r>
          </w:p>
        </w:tc>
        <w:tc>
          <w:tcPr>
            <w:tcW w:type="dxa" w:w="4320"/>
            <w:vAlign w:val="center"/>
          </w:tcPr>
          <w:p>
            <w:r/>
            <w:r>
              <w:rPr>
                <w:b w:val="0"/>
                <w:sz w:val="17"/>
              </w:rPr>
              <w:t>Capture requestId, stack, host, endpoint, planId, and failing payload step when 500 occurs.</w:t>
            </w:r>
          </w:p>
        </w:tc>
      </w:tr>
      <w:tr>
        <w:tc>
          <w:tcPr>
            <w:tcW w:type="dxa" w:w="2448"/>
            <w:vAlign w:val="center"/>
          </w:tcPr>
          <w:p>
            <w:r/>
            <w:r>
              <w:rPr>
                <w:b w:val="0"/>
                <w:sz w:val="17"/>
              </w:rPr>
              <w:t>Rest Assured tests</w:t>
            </w:r>
          </w:p>
        </w:tc>
        <w:tc>
          <w:tcPr>
            <w:tcW w:type="dxa" w:w="3168"/>
            <w:vAlign w:val="center"/>
          </w:tcPr>
          <w:p>
            <w:r/>
            <w:r>
              <w:rPr>
                <w:b w:val="0"/>
                <w:sz w:val="17"/>
              </w:rPr>
              <w:t>Permanent automation implementation.</w:t>
            </w:r>
          </w:p>
        </w:tc>
        <w:tc>
          <w:tcPr>
            <w:tcW w:type="dxa" w:w="4320"/>
            <w:vAlign w:val="center"/>
          </w:tcPr>
          <w:p>
            <w:r/>
            <w:r>
              <w:rPr>
                <w:b w:val="0"/>
                <w:sz w:val="17"/>
              </w:rPr>
              <w:t>Build read-only plan tests first, then prospect, then full E2E chain.</w:t>
            </w:r>
          </w:p>
        </w:tc>
      </w:tr>
      <w:tr>
        <w:tc>
          <w:tcPr>
            <w:tcW w:type="dxa" w:w="2448"/>
            <w:vAlign w:val="center"/>
          </w:tcPr>
          <w:p>
            <w:r/>
            <w:r>
              <w:rPr>
                <w:b w:val="0"/>
                <w:sz w:val="17"/>
              </w:rPr>
              <w:t>CI pipeline</w:t>
            </w:r>
          </w:p>
        </w:tc>
        <w:tc>
          <w:tcPr>
            <w:tcW w:type="dxa" w:w="3168"/>
            <w:vAlign w:val="center"/>
          </w:tcPr>
          <w:p>
            <w:r/>
            <w:r>
              <w:rPr>
                <w:b w:val="0"/>
                <w:sz w:val="17"/>
              </w:rPr>
              <w:t>Regression execution.</w:t>
            </w:r>
          </w:p>
        </w:tc>
        <w:tc>
          <w:tcPr>
            <w:tcW w:type="dxa" w:w="4320"/>
            <w:vAlign w:val="center"/>
          </w:tcPr>
          <w:p>
            <w:r/>
            <w:r>
              <w:rPr>
                <w:b w:val="0"/>
                <w:sz w:val="17"/>
              </w:rPr>
              <w:t>Add Stage1 profile first, publish TestNG/custom logs, then expand to QC4 after environment issue is resolved.</w:t>
            </w:r>
          </w:p>
        </w:tc>
      </w:tr>
    </w:tbl>
    <w:p>
      <w:pPr>
        <w:spacing w:after="80"/>
      </w:pPr>
    </w:p>
    <w:p>
      <w:pPr>
        <w:pStyle w:val="Heading1"/>
        <w:spacing w:before="160" w:after="80"/>
      </w:pPr>
      <w:r>
        <w:t>6. How to Get Postman Working</w:t>
      </w:r>
    </w:p>
    <w:p>
      <w:pPr>
        <w:pStyle w:val="ListNumber"/>
        <w:spacing w:after="40"/>
      </w:pPr>
      <w:r>
        <w:t>Use the Stage1 Postman environment as the primary working target while QC4 issues are being isolated.</w:t>
      </w:r>
    </w:p>
    <w:p>
      <w:pPr>
        <w:pStyle w:val="ListNumber"/>
        <w:spacing w:after="40"/>
      </w:pPr>
      <w:r>
        <w:t>Import the JWT-aware collection and the matching Stage1 environment file.</w:t>
      </w:r>
    </w:p>
    <w:p>
      <w:pPr>
        <w:pStyle w:val="ListNumber"/>
        <w:spacing w:after="40"/>
      </w:pPr>
      <w:r>
        <w:t>Set planId/branding to a known mobile-enabled value such as okdirect, unless testing another plan intentionally.</w:t>
      </w:r>
    </w:p>
    <w:p>
      <w:pPr>
        <w:pStyle w:val="ListNumber"/>
        <w:spacing w:after="40"/>
      </w:pPr>
      <w:r>
        <w:t>Run GET /certificate first. Confirm encAesKey and aesKeyPlain are created by the script/environment and are not blank.</w:t>
      </w:r>
    </w:p>
    <w:p>
      <w:pPr>
        <w:pStyle w:val="ListNumber"/>
        <w:spacing w:after="40"/>
      </w:pPr>
      <w:r>
        <w:t>Generate fresh raw test data before encrypting: username, email, owner SSN, beneficiary SSN, and any other unique fields.</w:t>
      </w:r>
    </w:p>
    <w:p>
      <w:pPr>
        <w:pStyle w:val="ListNumber"/>
        <w:spacing w:after="40"/>
      </w:pPr>
      <w:r>
        <w:t>Encrypt the raw payload once. Do not AES-encrypt variables that are already encrypted. Do not keep reusing old encrypted username/email/SSN values.</w:t>
      </w:r>
    </w:p>
    <w:p>
      <w:pPr>
        <w:pStyle w:val="ListNumber"/>
        <w:spacing w:after="40"/>
      </w:pPr>
      <w:r>
        <w:t>Open the Postman console, expand the request, and verify the final body that is actually sent. Do not validate only the pre-request script.</w:t>
      </w:r>
    </w:p>
    <w:p>
      <w:pPr>
        <w:pStyle w:val="ListNumber"/>
        <w:spacing w:after="40"/>
      </w:pPr>
      <w:r>
        <w:t>Run POST /enrollments/prospects. Capture x-enc-jwttoken or jwtToken into jwtToken environment variable.</w:t>
      </w:r>
    </w:p>
    <w:p>
      <w:pPr>
        <w:pStyle w:val="ListNumber"/>
        <w:spacing w:after="40"/>
      </w:pPr>
      <w:r>
        <w:t>Run steps 06-13 sequentially. After each event response, update correlationId, eventId, seqNum, parent, and enrollmentState from the response.</w:t>
      </w:r>
    </w:p>
    <w:p>
      <w:pPr>
        <w:pStyle w:val="ListNumber"/>
        <w:spacing w:after="40"/>
      </w:pPr>
      <w:r>
        <w:t>If a step fails, stop on the first failing step. Capture endpoint, response code, response body, requestId, planId, host, and timestamp before retrying.</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232"/>
            <w:vAlign w:val="center"/>
            <w:shd w:fill="1F4E79"/>
          </w:tcPr>
          <w:p>
            <w:r/>
            <w:r>
              <w:rPr>
                <w:b/>
                <w:color w:val="FFFFFF"/>
                <w:sz w:val="17"/>
              </w:rPr>
              <w:t>Postman variable</w:t>
            </w:r>
          </w:p>
        </w:tc>
        <w:tc>
          <w:tcPr>
            <w:tcW w:type="dxa" w:w="2016"/>
            <w:vAlign w:val="center"/>
            <w:shd w:fill="1F4E79"/>
          </w:tcPr>
          <w:p>
            <w:r/>
            <w:r>
              <w:rPr>
                <w:b/>
                <w:color w:val="FFFFFF"/>
                <w:sz w:val="17"/>
              </w:rPr>
              <w:t>Set by</w:t>
            </w:r>
          </w:p>
        </w:tc>
        <w:tc>
          <w:tcPr>
            <w:tcW w:type="dxa" w:w="2880"/>
            <w:vAlign w:val="center"/>
            <w:shd w:fill="1F4E79"/>
          </w:tcPr>
          <w:p>
            <w:r/>
            <w:r>
              <w:rPr>
                <w:b/>
                <w:color w:val="FFFFFF"/>
                <w:sz w:val="17"/>
              </w:rPr>
              <w:t>Used for</w:t>
            </w:r>
          </w:p>
        </w:tc>
        <w:tc>
          <w:tcPr>
            <w:tcW w:type="dxa" w:w="2952"/>
            <w:vAlign w:val="center"/>
            <w:shd w:fill="1F4E79"/>
          </w:tcPr>
          <w:p>
            <w:r/>
            <w:r>
              <w:rPr>
                <w:b/>
                <w:color w:val="FFFFFF"/>
                <w:sz w:val="17"/>
              </w:rPr>
              <w:t>Validation check</w:t>
            </w:r>
          </w:p>
        </w:tc>
      </w:tr>
      <w:tr>
        <w:tc>
          <w:tcPr>
            <w:tcW w:type="dxa" w:w="2232"/>
            <w:vAlign w:val="center"/>
          </w:tcPr>
          <w:p>
            <w:r/>
            <w:r>
              <w:rPr>
                <w:b w:val="0"/>
                <w:sz w:val="17"/>
              </w:rPr>
              <w:t>mobileMsc.host.url</w:t>
            </w:r>
          </w:p>
        </w:tc>
        <w:tc>
          <w:tcPr>
            <w:tcW w:type="dxa" w:w="2016"/>
            <w:vAlign w:val="center"/>
          </w:tcPr>
          <w:p>
            <w:r/>
            <w:r>
              <w:rPr>
                <w:b w:val="0"/>
                <w:sz w:val="17"/>
              </w:rPr>
              <w:t>Environment file</w:t>
            </w:r>
          </w:p>
        </w:tc>
        <w:tc>
          <w:tcPr>
            <w:tcW w:type="dxa" w:w="2880"/>
            <w:vAlign w:val="center"/>
          </w:tcPr>
          <w:p>
            <w:r/>
            <w:r>
              <w:rPr>
                <w:b w:val="0"/>
                <w:sz w:val="17"/>
              </w:rPr>
              <w:t>Enrollment cloud BFF</w:t>
            </w:r>
          </w:p>
        </w:tc>
        <w:tc>
          <w:tcPr>
            <w:tcW w:type="dxa" w:w="2952"/>
            <w:vAlign w:val="center"/>
          </w:tcPr>
          <w:p>
            <w:r/>
            <w:r>
              <w:rPr>
                <w:b w:val="0"/>
                <w:sz w:val="17"/>
              </w:rPr>
              <w:t>Must point to cloud host, not wtn.</w:t>
            </w:r>
          </w:p>
        </w:tc>
      </w:tr>
      <w:tr>
        <w:tc>
          <w:tcPr>
            <w:tcW w:type="dxa" w:w="2232"/>
            <w:vAlign w:val="center"/>
          </w:tcPr>
          <w:p>
            <w:r/>
            <w:r>
              <w:rPr>
                <w:b w:val="0"/>
                <w:sz w:val="17"/>
              </w:rPr>
              <w:t>mobileLogin.host.url</w:t>
            </w:r>
          </w:p>
        </w:tc>
        <w:tc>
          <w:tcPr>
            <w:tcW w:type="dxa" w:w="2016"/>
            <w:vAlign w:val="center"/>
          </w:tcPr>
          <w:p>
            <w:r/>
            <w:r>
              <w:rPr>
                <w:b w:val="0"/>
                <w:sz w:val="17"/>
              </w:rPr>
              <w:t>Environment file</w:t>
            </w:r>
          </w:p>
        </w:tc>
        <w:tc>
          <w:tcPr>
            <w:tcW w:type="dxa" w:w="2880"/>
            <w:vAlign w:val="center"/>
          </w:tcPr>
          <w:p>
            <w:r/>
            <w:r>
              <w:rPr>
                <w:b w:val="0"/>
                <w:sz w:val="17"/>
              </w:rPr>
              <w:t>Mobile login host</w:t>
            </w:r>
          </w:p>
        </w:tc>
        <w:tc>
          <w:tcPr>
            <w:tcW w:type="dxa" w:w="2952"/>
            <w:vAlign w:val="center"/>
          </w:tcPr>
          <w:p>
            <w:r/>
            <w:r>
              <w:rPr>
                <w:b w:val="0"/>
                <w:sz w:val="17"/>
              </w:rPr>
              <w:t>Do not use member JWT for enrollment event steps.</w:t>
            </w:r>
          </w:p>
        </w:tc>
      </w:tr>
      <w:tr>
        <w:tc>
          <w:tcPr>
            <w:tcW w:type="dxa" w:w="2232"/>
            <w:vAlign w:val="center"/>
          </w:tcPr>
          <w:p>
            <w:r/>
            <w:r>
              <w:rPr>
                <w:b w:val="0"/>
                <w:sz w:val="17"/>
              </w:rPr>
              <w:t>planId</w:t>
            </w:r>
          </w:p>
        </w:tc>
        <w:tc>
          <w:tcPr>
            <w:tcW w:type="dxa" w:w="2016"/>
            <w:vAlign w:val="center"/>
          </w:tcPr>
          <w:p>
            <w:r/>
            <w:r>
              <w:rPr>
                <w:b w:val="0"/>
                <w:sz w:val="17"/>
              </w:rPr>
              <w:t>Environment/manual</w:t>
            </w:r>
          </w:p>
        </w:tc>
        <w:tc>
          <w:tcPr>
            <w:tcW w:type="dxa" w:w="2880"/>
            <w:vAlign w:val="center"/>
          </w:tcPr>
          <w:p>
            <w:r/>
            <w:r>
              <w:rPr>
                <w:b w:val="0"/>
                <w:sz w:val="17"/>
              </w:rPr>
              <w:t>Plan branding</w:t>
            </w:r>
          </w:p>
        </w:tc>
        <w:tc>
          <w:tcPr>
            <w:tcW w:type="dxa" w:w="2952"/>
            <w:vAlign w:val="center"/>
          </w:tcPr>
          <w:p>
            <w:r/>
            <w:r>
              <w:rPr>
                <w:b w:val="0"/>
                <w:sz w:val="17"/>
              </w:rPr>
              <w:t>Verify plan endpoint returns expected plan details.</w:t>
            </w:r>
          </w:p>
        </w:tc>
      </w:tr>
      <w:tr>
        <w:tc>
          <w:tcPr>
            <w:tcW w:type="dxa" w:w="2232"/>
            <w:vAlign w:val="center"/>
          </w:tcPr>
          <w:p>
            <w:r/>
            <w:r>
              <w:rPr>
                <w:b w:val="0"/>
                <w:sz w:val="17"/>
              </w:rPr>
              <w:t>encAesKey</w:t>
            </w:r>
          </w:p>
        </w:tc>
        <w:tc>
          <w:tcPr>
            <w:tcW w:type="dxa" w:w="2016"/>
            <w:vAlign w:val="center"/>
          </w:tcPr>
          <w:p>
            <w:r/>
            <w:r>
              <w:rPr>
                <w:b w:val="0"/>
                <w:sz w:val="17"/>
              </w:rPr>
              <w:t>Certificate/encryption step</w:t>
            </w:r>
          </w:p>
        </w:tc>
        <w:tc>
          <w:tcPr>
            <w:tcW w:type="dxa" w:w="2880"/>
            <w:vAlign w:val="center"/>
          </w:tcPr>
          <w:p>
            <w:r/>
            <w:r>
              <w:rPr>
                <w:b w:val="0"/>
                <w:sz w:val="17"/>
              </w:rPr>
              <w:t>Encrypted POST payloads</w:t>
            </w:r>
          </w:p>
        </w:tc>
        <w:tc>
          <w:tcPr>
            <w:tcW w:type="dxa" w:w="2952"/>
            <w:vAlign w:val="center"/>
          </w:tcPr>
          <w:p>
            <w:r/>
            <w:r>
              <w:rPr>
                <w:b w:val="0"/>
                <w:sz w:val="17"/>
              </w:rPr>
              <w:t>Must be present on payloads that require it.</w:t>
            </w:r>
          </w:p>
        </w:tc>
      </w:tr>
      <w:tr>
        <w:tc>
          <w:tcPr>
            <w:tcW w:type="dxa" w:w="2232"/>
            <w:vAlign w:val="center"/>
          </w:tcPr>
          <w:p>
            <w:r/>
            <w:r>
              <w:rPr>
                <w:b w:val="0"/>
                <w:sz w:val="17"/>
              </w:rPr>
              <w:t>aesKeyPlain</w:t>
            </w:r>
          </w:p>
        </w:tc>
        <w:tc>
          <w:tcPr>
            <w:tcW w:type="dxa" w:w="2016"/>
            <w:vAlign w:val="center"/>
          </w:tcPr>
          <w:p>
            <w:r/>
            <w:r>
              <w:rPr>
                <w:b w:val="0"/>
                <w:sz w:val="17"/>
              </w:rPr>
              <w:t>Certificate/encryption step</w:t>
            </w:r>
          </w:p>
        </w:tc>
        <w:tc>
          <w:tcPr>
            <w:tcW w:type="dxa" w:w="2880"/>
            <w:vAlign w:val="center"/>
          </w:tcPr>
          <w:p>
            <w:r/>
            <w:r>
              <w:rPr>
                <w:b w:val="0"/>
                <w:sz w:val="17"/>
              </w:rPr>
              <w:t>Local encryption helper</w:t>
            </w:r>
          </w:p>
        </w:tc>
        <w:tc>
          <w:tcPr>
            <w:tcW w:type="dxa" w:w="2952"/>
            <w:vAlign w:val="center"/>
          </w:tcPr>
          <w:p>
            <w:r/>
            <w:r>
              <w:rPr>
                <w:b w:val="0"/>
                <w:sz w:val="17"/>
              </w:rPr>
              <w:t>Used internally to encrypt/decrypt field data.</w:t>
            </w:r>
          </w:p>
        </w:tc>
      </w:tr>
      <w:tr>
        <w:tc>
          <w:tcPr>
            <w:tcW w:type="dxa" w:w="2232"/>
            <w:vAlign w:val="center"/>
          </w:tcPr>
          <w:p>
            <w:r/>
            <w:r>
              <w:rPr>
                <w:b w:val="0"/>
                <w:sz w:val="17"/>
              </w:rPr>
              <w:t>jwtToken</w:t>
            </w:r>
          </w:p>
        </w:tc>
        <w:tc>
          <w:tcPr>
            <w:tcW w:type="dxa" w:w="2016"/>
            <w:vAlign w:val="center"/>
          </w:tcPr>
          <w:p>
            <w:r/>
            <w:r>
              <w:rPr>
                <w:b w:val="0"/>
                <w:sz w:val="17"/>
              </w:rPr>
              <w:t>Prospect response</w:t>
            </w:r>
          </w:p>
        </w:tc>
        <w:tc>
          <w:tcPr>
            <w:tcW w:type="dxa" w:w="2880"/>
            <w:vAlign w:val="center"/>
          </w:tcPr>
          <w:p>
            <w:r/>
            <w:r>
              <w:rPr>
                <w:b w:val="0"/>
                <w:sz w:val="17"/>
              </w:rPr>
              <w:t>Bearer auth steps 06-13</w:t>
            </w:r>
          </w:p>
        </w:tc>
        <w:tc>
          <w:tcPr>
            <w:tcW w:type="dxa" w:w="2952"/>
            <w:vAlign w:val="center"/>
          </w:tcPr>
          <w:p>
            <w:r/>
            <w:r>
              <w:rPr>
                <w:b w:val="0"/>
                <w:sz w:val="17"/>
              </w:rPr>
              <w:t>Must be ENROLL_PROSPECT token, not MEMBER token.</w:t>
            </w:r>
          </w:p>
        </w:tc>
      </w:tr>
      <w:tr>
        <w:tc>
          <w:tcPr>
            <w:tcW w:type="dxa" w:w="2232"/>
            <w:vAlign w:val="center"/>
          </w:tcPr>
          <w:p>
            <w:r/>
            <w:r>
              <w:rPr>
                <w:b w:val="0"/>
                <w:sz w:val="17"/>
              </w:rPr>
              <w:t>correlationId/eventId/seqNum</w:t>
            </w:r>
          </w:p>
        </w:tc>
        <w:tc>
          <w:tcPr>
            <w:tcW w:type="dxa" w:w="2016"/>
            <w:vAlign w:val="center"/>
          </w:tcPr>
          <w:p>
            <w:r/>
            <w:r>
              <w:rPr>
                <w:b w:val="0"/>
                <w:sz w:val="17"/>
              </w:rPr>
              <w:t>Event responses</w:t>
            </w:r>
          </w:p>
        </w:tc>
        <w:tc>
          <w:tcPr>
            <w:tcW w:type="dxa" w:w="2880"/>
            <w:vAlign w:val="center"/>
          </w:tcPr>
          <w:p>
            <w:r/>
            <w:r>
              <w:rPr>
                <w:b w:val="0"/>
                <w:sz w:val="17"/>
              </w:rPr>
              <w:t>State chaining</w:t>
            </w:r>
          </w:p>
        </w:tc>
        <w:tc>
          <w:tcPr>
            <w:tcW w:type="dxa" w:w="2952"/>
            <w:vAlign w:val="center"/>
          </w:tcPr>
          <w:p>
            <w:r/>
            <w:r>
              <w:rPr>
                <w:b w:val="0"/>
                <w:sz w:val="17"/>
              </w:rPr>
              <w:t>Must update after each event.</w:t>
            </w:r>
          </w:p>
        </w:tc>
      </w:tr>
      <w:tr>
        <w:tc>
          <w:tcPr>
            <w:tcW w:type="dxa" w:w="2232"/>
            <w:vAlign w:val="center"/>
          </w:tcPr>
          <w:p>
            <w:r/>
            <w:r>
              <w:rPr>
                <w:b w:val="0"/>
                <w:sz w:val="17"/>
              </w:rPr>
              <w:t>enrollmentState</w:t>
            </w:r>
          </w:p>
        </w:tc>
        <w:tc>
          <w:tcPr>
            <w:tcW w:type="dxa" w:w="2016"/>
            <w:vAlign w:val="center"/>
          </w:tcPr>
          <w:p>
            <w:r/>
            <w:r>
              <w:rPr>
                <w:b w:val="0"/>
                <w:sz w:val="17"/>
              </w:rPr>
              <w:t>Event responses</w:t>
            </w:r>
          </w:p>
        </w:tc>
        <w:tc>
          <w:tcPr>
            <w:tcW w:type="dxa" w:w="2880"/>
            <w:vAlign w:val="center"/>
          </w:tcPr>
          <w:p>
            <w:r/>
            <w:r>
              <w:rPr>
                <w:b w:val="0"/>
                <w:sz w:val="17"/>
              </w:rPr>
              <w:t>Prior step context</w:t>
            </w:r>
          </w:p>
        </w:tc>
        <w:tc>
          <w:tcPr>
            <w:tcW w:type="dxa" w:w="2952"/>
            <w:vAlign w:val="center"/>
          </w:tcPr>
          <w:p>
            <w:r/>
            <w:r>
              <w:rPr>
                <w:b w:val="0"/>
                <w:sz w:val="17"/>
              </w:rPr>
              <w:t>Must reflect latest accepted event state.</w:t>
            </w:r>
          </w:p>
        </w:tc>
      </w:tr>
    </w:tbl>
    <w:p>
      <w:pPr>
        <w:spacing w:after="80"/>
      </w:pPr>
    </w:p>
    <w:p>
      <w:pPr>
        <w:pStyle w:val="Heading1"/>
        <w:spacing w:before="160" w:after="80"/>
      </w:pPr>
      <w:r>
        <w:t>7. How to Get Automation Working</w:t>
      </w:r>
    </w:p>
    <w:tbl>
      <w:tblPr>
        <w:tblStyle w:val="TableGrid"/>
        <w:tblW w:type="auto" w:w="0"/>
        <w:tblLook w:firstColumn="1" w:firstRow="1" w:lastColumn="0" w:lastRow="0" w:noHBand="0" w:noVBand="1" w:val="04A0"/>
      </w:tblPr>
      <w:tblGrid>
        <w:gridCol w:w="10656"/>
      </w:tblGrid>
      <w:tr>
        <w:tc>
          <w:tcPr>
            <w:tcW w:type="dxa" w:w="10656"/>
            <w:shd w:fill="EAF3F8"/>
          </w:tcPr>
          <w:p>
            <w:r>
              <w:rPr>
                <w:b/>
                <w:color w:val="1F4E79"/>
                <w:sz w:val="20"/>
              </w:rPr>
              <w:t xml:space="preserve">Migration approach: </w:t>
            </w:r>
            <w:r>
              <w:rPr>
                <w:sz w:val="20"/>
              </w:rPr>
              <w:t>Do not start by automating the full enrollment chain. Use a phased migration: read-only endpoints first, then prospect creation with encryption, then the full event chain.</w:t>
            </w:r>
          </w:p>
        </w:tc>
      </w:tr>
    </w:tbl>
    <w:p>
      <w:pPr>
        <w:spacing w:after="80"/>
      </w:pPr>
    </w:p>
    <w:tbl>
      <w:tblPr>
        <w:tblStyle w:val="TableGrid"/>
        <w:tblW w:type="auto" w:w="0"/>
        <w:jc w:val="center"/>
        <w:tblLook w:firstColumn="1" w:firstRow="1" w:lastColumn="0" w:lastRow="0" w:noHBand="0" w:noVBand="1" w:val="04A0"/>
      </w:tblPr>
      <w:tblGrid>
        <w:gridCol w:w="3552"/>
        <w:gridCol w:w="3552"/>
        <w:gridCol w:w="3552"/>
      </w:tblGrid>
      <w:tr>
        <w:tc>
          <w:tcPr>
            <w:tcW w:type="dxa" w:w="2376"/>
            <w:vAlign w:val="center"/>
            <w:shd w:fill="1F4E79"/>
          </w:tcPr>
          <w:p>
            <w:r/>
            <w:r>
              <w:rPr>
                <w:b/>
                <w:color w:val="FFFFFF"/>
                <w:sz w:val="17"/>
              </w:rPr>
              <w:t>Automation phase</w:t>
            </w:r>
          </w:p>
        </w:tc>
        <w:tc>
          <w:tcPr>
            <w:tcW w:type="dxa" w:w="4392"/>
            <w:vAlign w:val="center"/>
            <w:shd w:fill="1F4E79"/>
          </w:tcPr>
          <w:p>
            <w:r/>
            <w:r>
              <w:rPr>
                <w:b/>
                <w:color w:val="FFFFFF"/>
                <w:sz w:val="17"/>
              </w:rPr>
              <w:t>Scope</w:t>
            </w:r>
          </w:p>
        </w:tc>
        <w:tc>
          <w:tcPr>
            <w:tcW w:type="dxa" w:w="3240"/>
            <w:vAlign w:val="center"/>
            <w:shd w:fill="1F4E79"/>
          </w:tcPr>
          <w:p>
            <w:r/>
            <w:r>
              <w:rPr>
                <w:b/>
                <w:color w:val="FFFFFF"/>
                <w:sz w:val="17"/>
              </w:rPr>
              <w:t>Exit criteria</w:t>
            </w:r>
          </w:p>
        </w:tc>
      </w:tr>
      <w:tr>
        <w:tc>
          <w:tcPr>
            <w:tcW w:type="dxa" w:w="2376"/>
            <w:vAlign w:val="center"/>
          </w:tcPr>
          <w:p>
            <w:r/>
            <w:r>
              <w:rPr>
                <w:b w:val="0"/>
                <w:sz w:val="17"/>
              </w:rPr>
              <w:t>Phase 1 - Framework wiring</w:t>
            </w:r>
          </w:p>
        </w:tc>
        <w:tc>
          <w:tcPr>
            <w:tcW w:type="dxa" w:w="4392"/>
            <w:vAlign w:val="center"/>
          </w:tcPr>
          <w:p>
            <w:r/>
            <w:r>
              <w:rPr>
                <w:b w:val="0"/>
                <w:sz w:val="17"/>
              </w:rPr>
              <w:t>Create/confirm mobile/enrollment module, Stage1 config, base URL properties, test runner, and logging.</w:t>
            </w:r>
          </w:p>
        </w:tc>
        <w:tc>
          <w:tcPr>
            <w:tcW w:type="dxa" w:w="3240"/>
            <w:vAlign w:val="center"/>
          </w:tcPr>
          <w:p>
            <w:r/>
            <w:r>
              <w:rPr>
                <w:b w:val="0"/>
                <w:sz w:val="17"/>
              </w:rPr>
              <w:t>GET /plans and GET /plans/{planId} execute from IDE/Maven and report correctly.</w:t>
            </w:r>
          </w:p>
        </w:tc>
      </w:tr>
      <w:tr>
        <w:tc>
          <w:tcPr>
            <w:tcW w:type="dxa" w:w="2376"/>
            <w:vAlign w:val="center"/>
          </w:tcPr>
          <w:p>
            <w:r/>
            <w:r>
              <w:rPr>
                <w:b w:val="0"/>
                <w:sz w:val="17"/>
              </w:rPr>
              <w:t>Phase 2 - Encryption utility integration</w:t>
            </w:r>
          </w:p>
        </w:tc>
        <w:tc>
          <w:tcPr>
            <w:tcW w:type="dxa" w:w="4392"/>
            <w:vAlign w:val="center"/>
          </w:tcPr>
          <w:p>
            <w:r/>
            <w:r>
              <w:rPr>
                <w:b w:val="0"/>
                <w:sz w:val="17"/>
              </w:rPr>
              <w:t>Use jsonapi-encryption/MobileEncryptionHelper/EncryptHelper to encrypt payload JSON for enrollment.</w:t>
            </w:r>
          </w:p>
        </w:tc>
        <w:tc>
          <w:tcPr>
            <w:tcW w:type="dxa" w:w="3240"/>
            <w:vAlign w:val="center"/>
          </w:tcPr>
          <w:p>
            <w:r/>
            <w:r>
              <w:rPr>
                <w:b w:val="0"/>
                <w:sz w:val="17"/>
              </w:rPr>
              <w:t>A known raw prospect payload becomes a valid encrypted request body.</w:t>
            </w:r>
          </w:p>
        </w:tc>
      </w:tr>
      <w:tr>
        <w:tc>
          <w:tcPr>
            <w:tcW w:type="dxa" w:w="2376"/>
            <w:vAlign w:val="center"/>
          </w:tcPr>
          <w:p>
            <w:r/>
            <w:r>
              <w:rPr>
                <w:b w:val="0"/>
                <w:sz w:val="17"/>
              </w:rPr>
              <w:t>Phase 3 - Prospect creation</w:t>
            </w:r>
          </w:p>
        </w:tc>
        <w:tc>
          <w:tcPr>
            <w:tcW w:type="dxa" w:w="4392"/>
            <w:vAlign w:val="center"/>
          </w:tcPr>
          <w:p>
            <w:r/>
            <w:r>
              <w:rPr>
                <w:b w:val="0"/>
                <w:sz w:val="17"/>
              </w:rPr>
              <w:t>Automate POST /enrollments/prospects with fresh generated data.</w:t>
            </w:r>
          </w:p>
        </w:tc>
        <w:tc>
          <w:tcPr>
            <w:tcW w:type="dxa" w:w="3240"/>
            <w:vAlign w:val="center"/>
          </w:tcPr>
          <w:p>
            <w:r/>
            <w:r>
              <w:rPr>
                <w:b w:val="0"/>
                <w:sz w:val="17"/>
              </w:rPr>
              <w:t>Response is successful and ENROLL_PROSPECT JWT is captured.</w:t>
            </w:r>
          </w:p>
        </w:tc>
      </w:tr>
      <w:tr>
        <w:tc>
          <w:tcPr>
            <w:tcW w:type="dxa" w:w="2376"/>
            <w:vAlign w:val="center"/>
          </w:tcPr>
          <w:p>
            <w:r/>
            <w:r>
              <w:rPr>
                <w:b w:val="0"/>
                <w:sz w:val="17"/>
              </w:rPr>
              <w:t>Phase 4 - Event state engine</w:t>
            </w:r>
          </w:p>
        </w:tc>
        <w:tc>
          <w:tcPr>
            <w:tcW w:type="dxa" w:w="4392"/>
            <w:vAlign w:val="center"/>
          </w:tcPr>
          <w:p>
            <w:r/>
            <w:r>
              <w:rPr>
                <w:b w:val="0"/>
                <w:sz w:val="17"/>
              </w:rPr>
              <w:t>Implement state object to store correlationId, eventId, seqNum, parent, enrollmentState, jwtToken.</w:t>
            </w:r>
          </w:p>
        </w:tc>
        <w:tc>
          <w:tcPr>
            <w:tcW w:type="dxa" w:w="3240"/>
            <w:vAlign w:val="center"/>
          </w:tcPr>
          <w:p>
            <w:r/>
            <w:r>
              <w:rPr>
                <w:b w:val="0"/>
                <w:sz w:val="17"/>
              </w:rPr>
              <w:t>Owner-entered can consume prospect response metadata and submit successfully.</w:t>
            </w:r>
          </w:p>
        </w:tc>
      </w:tr>
      <w:tr>
        <w:tc>
          <w:tcPr>
            <w:tcW w:type="dxa" w:w="2376"/>
            <w:vAlign w:val="center"/>
          </w:tcPr>
          <w:p>
            <w:r/>
            <w:r>
              <w:rPr>
                <w:b w:val="0"/>
                <w:sz w:val="17"/>
              </w:rPr>
              <w:t>Phase 5 - Full happy path</w:t>
            </w:r>
          </w:p>
        </w:tc>
        <w:tc>
          <w:tcPr>
            <w:tcW w:type="dxa" w:w="4392"/>
            <w:vAlign w:val="center"/>
          </w:tcPr>
          <w:p>
            <w:r/>
            <w:r>
              <w:rPr>
                <w:b w:val="0"/>
                <w:sz w:val="17"/>
              </w:rPr>
              <w:t>Add owner, address, beneficiary, bank, allocation, and review-confirm event tests.</w:t>
            </w:r>
          </w:p>
        </w:tc>
        <w:tc>
          <w:tcPr>
            <w:tcW w:type="dxa" w:w="3240"/>
            <w:vAlign w:val="center"/>
          </w:tcPr>
          <w:p>
            <w:r/>
            <w:r>
              <w:rPr>
                <w:b w:val="0"/>
                <w:sz w:val="17"/>
              </w:rPr>
              <w:t>Full Stage1 flow creates account or reaches final expected confirmation.</w:t>
            </w:r>
          </w:p>
        </w:tc>
      </w:tr>
      <w:tr>
        <w:tc>
          <w:tcPr>
            <w:tcW w:type="dxa" w:w="2376"/>
            <w:vAlign w:val="center"/>
          </w:tcPr>
          <w:p>
            <w:r/>
            <w:r>
              <w:rPr>
                <w:b w:val="0"/>
                <w:sz w:val="17"/>
              </w:rPr>
              <w:t>Phase 6 - Regression hardening</w:t>
            </w:r>
          </w:p>
        </w:tc>
        <w:tc>
          <w:tcPr>
            <w:tcW w:type="dxa" w:w="4392"/>
            <w:vAlign w:val="center"/>
          </w:tcPr>
          <w:p>
            <w:r/>
            <w:r>
              <w:rPr>
                <w:b w:val="0"/>
                <w:sz w:val="17"/>
              </w:rPr>
              <w:t>Add reusable test data, negative tests, assertions, DB checks, and CI reporting.</w:t>
            </w:r>
          </w:p>
        </w:tc>
        <w:tc>
          <w:tcPr>
            <w:tcW w:type="dxa" w:w="3240"/>
            <w:vAlign w:val="center"/>
          </w:tcPr>
          <w:p>
            <w:r/>
            <w:r>
              <w:rPr>
                <w:b w:val="0"/>
                <w:sz w:val="17"/>
              </w:rPr>
              <w:t>Suite runs consistently in pipeline with clear failure diagnostics.</w:t>
            </w:r>
          </w:p>
        </w:tc>
      </w:tr>
      <w:tr>
        <w:tc>
          <w:tcPr>
            <w:tcW w:type="dxa" w:w="2376"/>
            <w:vAlign w:val="center"/>
          </w:tcPr>
          <w:p>
            <w:r/>
            <w:r>
              <w:rPr>
                <w:b w:val="0"/>
                <w:sz w:val="17"/>
              </w:rPr>
              <w:t>Phase 7 - QC4 enablement</w:t>
            </w:r>
          </w:p>
        </w:tc>
        <w:tc>
          <w:tcPr>
            <w:tcW w:type="dxa" w:w="4392"/>
            <w:vAlign w:val="center"/>
          </w:tcPr>
          <w:p>
            <w:r/>
            <w:r>
              <w:rPr>
                <w:b w:val="0"/>
                <w:sz w:val="17"/>
              </w:rPr>
              <w:t>Re-enable QC4 only once backend 500/root cause is understood and environment health is stable.</w:t>
            </w:r>
          </w:p>
        </w:tc>
        <w:tc>
          <w:tcPr>
            <w:tcW w:type="dxa" w:w="3240"/>
            <w:vAlign w:val="center"/>
          </w:tcPr>
          <w:p>
            <w:r/>
            <w:r>
              <w:rPr>
                <w:b w:val="0"/>
                <w:sz w:val="17"/>
              </w:rPr>
              <w:t>Same suite passes in QC4 or failure is mapped to a known environment issue.</w:t>
            </w:r>
          </w:p>
        </w:tc>
      </w:tr>
    </w:tbl>
    <w:p>
      <w:pPr>
        <w:spacing w:after="80"/>
      </w:pPr>
    </w:p>
    <w:tbl>
      <w:tblPr>
        <w:tblStyle w:val="TableGrid"/>
        <w:tblW w:type="auto" w:w="0"/>
        <w:tblLook w:firstColumn="1" w:firstRow="1" w:lastColumn="0" w:lastRow="0" w:noHBand="0" w:noVBand="1" w:val="04A0"/>
      </w:tblPr>
      <w:tblGrid>
        <w:gridCol w:w="10656"/>
      </w:tblGrid>
      <w:tr>
        <w:tc>
          <w:tcPr>
            <w:tcW w:type="dxa" w:w="10656"/>
            <w:shd w:fill="F7F7F7"/>
          </w:tcPr>
          <w:p>
            <w:r>
              <w:rPr>
                <w:rFonts w:ascii="Courier New" w:hAnsi="Courier New" w:eastAsia="Courier New"/>
                <w:sz w:val="17"/>
              </w:rPr>
              <w:t>Recommended module layout</w:t>
              <w:br/>
              <w:br/>
              <w:t>api-test-automation/</w:t>
              <w:br/>
              <w:t xml:space="preserve">  mobile/</w:t>
              <w:br/>
              <w:t xml:space="preserve">    enrollment/</w:t>
              <w:br/>
              <w:t xml:space="preserve">      src/test/java/enrollment/</w:t>
              <w:br/>
              <w:t xml:space="preserve">        bootstrap/      # framework wiring</w:t>
              <w:br/>
              <w:t xml:space="preserve">        plans/          # GET /plans, GET /plans/{id}</w:t>
              <w:br/>
              <w:t xml:space="preserve">        prospect/       # POST /enrollments/prospects</w:t>
              <w:br/>
              <w:t xml:space="preserve">        events/         # owner, beneficiary, bank, allocation, review-confirm</w:t>
              <w:br/>
              <w:t xml:space="preserve">        e2e/            # full chained workflow</w:t>
              <w:br/>
              <w:t xml:space="preserve">      src/test/resources/</w:t>
              <w:br/>
              <w:t xml:space="preserve">        json/           # raw payload templates</w:t>
              <w:br/>
              <w:t xml:space="preserve">        sql/            # DB validation queries, if needed</w:t>
              <w:br/>
              <w:t xml:space="preserve">        config/         # stage1/qc4 properties</w:t>
            </w:r>
          </w:p>
        </w:tc>
      </w:tr>
    </w:tbl>
    <w:p>
      <w:pPr>
        <w:spacing w:after="80"/>
      </w:pPr>
    </w:p>
    <w:tbl>
      <w:tblPr>
        <w:tblStyle w:val="TableGrid"/>
        <w:tblW w:type="auto" w:w="0"/>
        <w:tblLook w:firstColumn="1" w:firstRow="1" w:lastColumn="0" w:lastRow="0" w:noHBand="0" w:noVBand="1" w:val="04A0"/>
      </w:tblPr>
      <w:tblGrid>
        <w:gridCol w:w="10656"/>
      </w:tblGrid>
      <w:tr>
        <w:tc>
          <w:tcPr>
            <w:tcW w:type="dxa" w:w="10656"/>
            <w:shd w:fill="F7F7F7"/>
          </w:tcPr>
          <w:p>
            <w:r>
              <w:rPr>
                <w:rFonts w:ascii="Courier New" w:hAnsi="Courier New" w:eastAsia="Courier New"/>
                <w:sz w:val="17"/>
              </w:rPr>
              <w:t>Minimum Stage1 properties</w:t>
              <w:br/>
              <w:br/>
              <w:t>mobile-cloud-url=https://unite-bff-cloud.stage1.unite529.com</w:t>
              <w:br/>
              <w:t>mobile-wtn-url=https://unite-bff-wtn.stage1.acs529.com</w:t>
              <w:br/>
              <w:t>enrollment-plan-id=okdirect</w:t>
              <w:br/>
              <w:t>x-app-version=3.1.0</w:t>
            </w:r>
          </w:p>
        </w:tc>
      </w:tr>
    </w:tbl>
    <w:p>
      <w:pPr>
        <w:spacing w:after="80"/>
      </w:pPr>
    </w:p>
    <w:p>
      <w:pPr>
        <w:pStyle w:val="Heading1"/>
        <w:spacing w:before="160" w:after="80"/>
      </w:pPr>
      <w:r>
        <w:t>8. Payload and Test Data Rules</w:t>
      </w:r>
    </w:p>
    <w:tbl>
      <w:tblPr>
        <w:tblStyle w:val="TableGrid"/>
        <w:tblW w:type="auto" w:w="0"/>
        <w:jc w:val="center"/>
        <w:tblLook w:firstColumn="1" w:firstRow="1" w:lastColumn="0" w:lastRow="0" w:noHBand="0" w:noVBand="1" w:val="04A0"/>
      </w:tblPr>
      <w:tblGrid>
        <w:gridCol w:w="3552"/>
        <w:gridCol w:w="3552"/>
        <w:gridCol w:w="3552"/>
      </w:tblGrid>
      <w:tr>
        <w:tc>
          <w:tcPr>
            <w:tcW w:type="dxa" w:w="2376"/>
            <w:vAlign w:val="center"/>
            <w:shd w:fill="1F4E79"/>
          </w:tcPr>
          <w:p>
            <w:r/>
            <w:r>
              <w:rPr>
                <w:b/>
                <w:color w:val="FFFFFF"/>
                <w:sz w:val="17"/>
              </w:rPr>
              <w:t>Rule</w:t>
            </w:r>
          </w:p>
        </w:tc>
        <w:tc>
          <w:tcPr>
            <w:tcW w:type="dxa" w:w="3456"/>
            <w:vAlign w:val="center"/>
            <w:shd w:fill="1F4E79"/>
          </w:tcPr>
          <w:p>
            <w:r/>
            <w:r>
              <w:rPr>
                <w:b/>
                <w:color w:val="FFFFFF"/>
                <w:sz w:val="17"/>
              </w:rPr>
              <w:t>Why it matters</w:t>
            </w:r>
          </w:p>
        </w:tc>
        <w:tc>
          <w:tcPr>
            <w:tcW w:type="dxa" w:w="4176"/>
            <w:vAlign w:val="center"/>
            <w:shd w:fill="1F4E79"/>
          </w:tcPr>
          <w:p>
            <w:r/>
            <w:r>
              <w:rPr>
                <w:b/>
                <w:color w:val="FFFFFF"/>
                <w:sz w:val="17"/>
              </w:rPr>
              <w:t>Implementation detail</w:t>
            </w:r>
          </w:p>
        </w:tc>
      </w:tr>
      <w:tr>
        <w:tc>
          <w:tcPr>
            <w:tcW w:type="dxa" w:w="2376"/>
            <w:vAlign w:val="center"/>
          </w:tcPr>
          <w:p>
            <w:r/>
            <w:r>
              <w:rPr>
                <w:b w:val="0"/>
                <w:sz w:val="17"/>
              </w:rPr>
              <w:t>Generate unique username every run</w:t>
            </w:r>
          </w:p>
        </w:tc>
        <w:tc>
          <w:tcPr>
            <w:tcW w:type="dxa" w:w="3456"/>
            <w:vAlign w:val="center"/>
          </w:tcPr>
          <w:p>
            <w:r/>
            <w:r>
              <w:rPr>
                <w:b w:val="0"/>
                <w:sz w:val="17"/>
              </w:rPr>
              <w:t>Duplicate username returns user already exists.</w:t>
            </w:r>
          </w:p>
        </w:tc>
        <w:tc>
          <w:tcPr>
            <w:tcW w:type="dxa" w:w="4176"/>
            <w:vAlign w:val="center"/>
          </w:tcPr>
          <w:p>
            <w:r/>
            <w:r>
              <w:rPr>
                <w:b w:val="0"/>
                <w:sz w:val="17"/>
              </w:rPr>
              <w:t>Append timestamp/UUID suffix before encryption.</w:t>
            </w:r>
          </w:p>
        </w:tc>
      </w:tr>
      <w:tr>
        <w:tc>
          <w:tcPr>
            <w:tcW w:type="dxa" w:w="2376"/>
            <w:vAlign w:val="center"/>
          </w:tcPr>
          <w:p>
            <w:r/>
            <w:r>
              <w:rPr>
                <w:b w:val="0"/>
                <w:sz w:val="17"/>
              </w:rPr>
              <w:t>Generate unique email every run</w:t>
            </w:r>
          </w:p>
        </w:tc>
        <w:tc>
          <w:tcPr>
            <w:tcW w:type="dxa" w:w="3456"/>
            <w:vAlign w:val="center"/>
          </w:tcPr>
          <w:p>
            <w:r/>
            <w:r>
              <w:rPr>
                <w:b w:val="0"/>
                <w:sz w:val="17"/>
              </w:rPr>
              <w:t>Duplicate email causes existing-user validation.</w:t>
            </w:r>
          </w:p>
        </w:tc>
        <w:tc>
          <w:tcPr>
            <w:tcW w:type="dxa" w:w="4176"/>
            <w:vAlign w:val="center"/>
          </w:tcPr>
          <w:p>
            <w:r/>
            <w:r>
              <w:rPr>
                <w:b w:val="0"/>
                <w:sz w:val="17"/>
              </w:rPr>
              <w:t>Use test-safe email pattern with random suffix.</w:t>
            </w:r>
          </w:p>
        </w:tc>
      </w:tr>
      <w:tr>
        <w:tc>
          <w:tcPr>
            <w:tcW w:type="dxa" w:w="2376"/>
            <w:vAlign w:val="center"/>
          </w:tcPr>
          <w:p>
            <w:r/>
            <w:r>
              <w:rPr>
                <w:b w:val="0"/>
                <w:sz w:val="17"/>
              </w:rPr>
              <w:t>Generate unique SSN values per owner/beneficiary</w:t>
            </w:r>
          </w:p>
        </w:tc>
        <w:tc>
          <w:tcPr>
            <w:tcW w:type="dxa" w:w="3456"/>
            <w:vAlign w:val="center"/>
          </w:tcPr>
          <w:p>
            <w:r/>
            <w:r>
              <w:rPr>
                <w:b w:val="0"/>
                <w:sz w:val="17"/>
              </w:rPr>
              <w:t>Backend validates duplicate identity data.</w:t>
            </w:r>
          </w:p>
        </w:tc>
        <w:tc>
          <w:tcPr>
            <w:tcW w:type="dxa" w:w="4176"/>
            <w:vAlign w:val="center"/>
          </w:tcPr>
          <w:p>
            <w:r/>
            <w:r>
              <w:rPr>
                <w:b w:val="0"/>
                <w:sz w:val="17"/>
              </w:rPr>
              <w:t>Use approved test SSN generator or environment-specific seeded data policy.</w:t>
            </w:r>
          </w:p>
        </w:tc>
      </w:tr>
      <w:tr>
        <w:tc>
          <w:tcPr>
            <w:tcW w:type="dxa" w:w="2376"/>
            <w:vAlign w:val="center"/>
          </w:tcPr>
          <w:p>
            <w:r/>
            <w:r>
              <w:rPr>
                <w:b w:val="0"/>
                <w:sz w:val="17"/>
              </w:rPr>
              <w:t>Do not double encrypt</w:t>
            </w:r>
          </w:p>
        </w:tc>
        <w:tc>
          <w:tcPr>
            <w:tcW w:type="dxa" w:w="3456"/>
            <w:vAlign w:val="center"/>
          </w:tcPr>
          <w:p>
            <w:r/>
            <w:r>
              <w:rPr>
                <w:b w:val="0"/>
                <w:sz w:val="17"/>
              </w:rPr>
              <w:t>Double-encrypted values can trigger padding/decryption errors.</w:t>
            </w:r>
          </w:p>
        </w:tc>
        <w:tc>
          <w:tcPr>
            <w:tcW w:type="dxa" w:w="4176"/>
            <w:vAlign w:val="center"/>
          </w:tcPr>
          <w:p>
            <w:r/>
            <w:r>
              <w:rPr>
                <w:b w:val="0"/>
                <w:sz w:val="17"/>
              </w:rPr>
              <w:t>Track raw vs encrypted values explicitly in variable naming.</w:t>
            </w:r>
          </w:p>
        </w:tc>
      </w:tr>
      <w:tr>
        <w:tc>
          <w:tcPr>
            <w:tcW w:type="dxa" w:w="2376"/>
            <w:vAlign w:val="center"/>
          </w:tcPr>
          <w:p>
            <w:r/>
            <w:r>
              <w:rPr>
                <w:b w:val="0"/>
                <w:sz w:val="17"/>
              </w:rPr>
              <w:t>Keep prospect.plan plaintext</w:t>
            </w:r>
          </w:p>
        </w:tc>
        <w:tc>
          <w:tcPr>
            <w:tcW w:type="dxa" w:w="3456"/>
            <w:vAlign w:val="center"/>
          </w:tcPr>
          <w:p>
            <w:r/>
            <w:r>
              <w:rPr>
                <w:b w:val="0"/>
                <w:sz w:val="17"/>
              </w:rPr>
              <w:t>KT says prospect.plan is not encrypted.</w:t>
            </w:r>
          </w:p>
        </w:tc>
        <w:tc>
          <w:tcPr>
            <w:tcW w:type="dxa" w:w="4176"/>
            <w:vAlign w:val="center"/>
          </w:tcPr>
          <w:p>
            <w:r/>
            <w:r>
              <w:rPr>
                <w:b w:val="0"/>
                <w:sz w:val="17"/>
              </w:rPr>
              <w:t>Pass branding such as okdirect as plaintext.</w:t>
            </w:r>
          </w:p>
        </w:tc>
      </w:tr>
      <w:tr>
        <w:tc>
          <w:tcPr>
            <w:tcW w:type="dxa" w:w="2376"/>
            <w:vAlign w:val="center"/>
          </w:tcPr>
          <w:p>
            <w:r/>
            <w:r>
              <w:rPr>
                <w:b w:val="0"/>
                <w:sz w:val="17"/>
              </w:rPr>
              <w:t>Keep usernameHash distinct from AES fields</w:t>
            </w:r>
          </w:p>
        </w:tc>
        <w:tc>
          <w:tcPr>
            <w:tcW w:type="dxa" w:w="3456"/>
            <w:vAlign w:val="center"/>
          </w:tcPr>
          <w:p>
            <w:r/>
            <w:r>
              <w:rPr>
                <w:b w:val="0"/>
                <w:sz w:val="17"/>
              </w:rPr>
              <w:t>KT identifies usernameHash as SHA-512/Base64, not AES encrypted.</w:t>
            </w:r>
          </w:p>
        </w:tc>
        <w:tc>
          <w:tcPr>
            <w:tcW w:type="dxa" w:w="4176"/>
            <w:vAlign w:val="center"/>
          </w:tcPr>
          <w:p>
            <w:r/>
            <w:r>
              <w:rPr>
                <w:b w:val="0"/>
                <w:sz w:val="17"/>
              </w:rPr>
              <w:t>Generate hash from raw username, then include separately.</w:t>
            </w:r>
          </w:p>
        </w:tc>
      </w:tr>
      <w:tr>
        <w:tc>
          <w:tcPr>
            <w:tcW w:type="dxa" w:w="2376"/>
            <w:vAlign w:val="center"/>
          </w:tcPr>
          <w:p>
            <w:r/>
            <w:r>
              <w:rPr>
                <w:b w:val="0"/>
                <w:sz w:val="17"/>
              </w:rPr>
              <w:t>Only add optional fields after required fields pass</w:t>
            </w:r>
          </w:p>
        </w:tc>
        <w:tc>
          <w:tcPr>
            <w:tcW w:type="dxa" w:w="3456"/>
            <w:vAlign w:val="center"/>
          </w:tcPr>
          <w:p>
            <w:r/>
            <w:r>
              <w:rPr>
                <w:b w:val="0"/>
                <w:sz w:val="17"/>
              </w:rPr>
              <w:t>Large payload makes debugging hard.</w:t>
            </w:r>
          </w:p>
        </w:tc>
        <w:tc>
          <w:tcPr>
            <w:tcW w:type="dxa" w:w="4176"/>
            <w:vAlign w:val="center"/>
          </w:tcPr>
          <w:p>
            <w:r/>
            <w:r>
              <w:rPr>
                <w:b w:val="0"/>
                <w:sz w:val="17"/>
              </w:rPr>
              <w:t>Build minimum viable payload, then expand.</w:t>
            </w:r>
          </w:p>
        </w:tc>
      </w:tr>
      <w:tr>
        <w:tc>
          <w:tcPr>
            <w:tcW w:type="dxa" w:w="2376"/>
            <w:vAlign w:val="center"/>
          </w:tcPr>
          <w:p>
            <w:r/>
            <w:r>
              <w:rPr>
                <w:b w:val="0"/>
                <w:sz w:val="17"/>
              </w:rPr>
              <w:t>Validate actual request body from console/logs</w:t>
            </w:r>
          </w:p>
        </w:tc>
        <w:tc>
          <w:tcPr>
            <w:tcW w:type="dxa" w:w="3456"/>
            <w:vAlign w:val="center"/>
          </w:tcPr>
          <w:p>
            <w:r/>
            <w:r>
              <w:rPr>
                <w:b w:val="0"/>
                <w:sz w:val="17"/>
              </w:rPr>
              <w:t>Scripts may not match final outgoing body.</w:t>
            </w:r>
          </w:p>
        </w:tc>
        <w:tc>
          <w:tcPr>
            <w:tcW w:type="dxa" w:w="4176"/>
            <w:vAlign w:val="center"/>
          </w:tcPr>
          <w:p>
            <w:r/>
            <w:r>
              <w:rPr>
                <w:b w:val="0"/>
                <w:sz w:val="17"/>
              </w:rPr>
              <w:t>Log sanitized raw payload key fields and encrypted payload metadata.</w:t>
            </w:r>
          </w:p>
        </w:tc>
      </w:tr>
    </w:tbl>
    <w:p>
      <w:pPr>
        <w:spacing w:after="80"/>
      </w:pPr>
    </w:p>
    <w:p>
      <w:pPr>
        <w:pStyle w:val="Heading1"/>
        <w:spacing w:before="160" w:after="80"/>
      </w:pPr>
      <w:r>
        <w:t>9. Troubleshooting and Debugging Playbook</w:t>
      </w:r>
    </w:p>
    <w:tbl>
      <w:tblPr>
        <w:tblStyle w:val="TableGrid"/>
        <w:tblW w:type="auto" w:w="0"/>
        <w:jc w:val="center"/>
        <w:tblLook w:firstColumn="1" w:firstRow="1" w:lastColumn="0" w:lastRow="0" w:noHBand="0" w:noVBand="1" w:val="04A0"/>
      </w:tblPr>
      <w:tblGrid>
        <w:gridCol w:w="3552"/>
        <w:gridCol w:w="3552"/>
        <w:gridCol w:w="3552"/>
      </w:tblGrid>
      <w:tr>
        <w:tc>
          <w:tcPr>
            <w:tcW w:type="dxa" w:w="2448"/>
            <w:vAlign w:val="center"/>
            <w:shd w:fill="1F4E79"/>
          </w:tcPr>
          <w:p>
            <w:r/>
            <w:r>
              <w:rPr>
                <w:b/>
                <w:color w:val="FFFFFF"/>
                <w:sz w:val="17"/>
              </w:rPr>
              <w:t>Symptom</w:t>
            </w:r>
          </w:p>
        </w:tc>
        <w:tc>
          <w:tcPr>
            <w:tcW w:type="dxa" w:w="3672"/>
            <w:vAlign w:val="center"/>
            <w:shd w:fill="1F4E79"/>
          </w:tcPr>
          <w:p>
            <w:r/>
            <w:r>
              <w:rPr>
                <w:b/>
                <w:color w:val="FFFFFF"/>
                <w:sz w:val="17"/>
              </w:rPr>
              <w:t>Likely cause</w:t>
            </w:r>
          </w:p>
        </w:tc>
        <w:tc>
          <w:tcPr>
            <w:tcW w:type="dxa" w:w="3888"/>
            <w:vAlign w:val="center"/>
            <w:shd w:fill="1F4E79"/>
          </w:tcPr>
          <w:p>
            <w:r/>
            <w:r>
              <w:rPr>
                <w:b/>
                <w:color w:val="FFFFFF"/>
                <w:sz w:val="17"/>
              </w:rPr>
              <w:t>Action</w:t>
            </w:r>
          </w:p>
        </w:tc>
      </w:tr>
      <w:tr>
        <w:tc>
          <w:tcPr>
            <w:tcW w:type="dxa" w:w="2448"/>
            <w:vAlign w:val="center"/>
          </w:tcPr>
          <w:p>
            <w:r/>
            <w:r>
              <w:rPr>
                <w:b w:val="0"/>
                <w:sz w:val="17"/>
              </w:rPr>
              <w:t>500 on POST /enrollments/prospects</w:t>
            </w:r>
          </w:p>
        </w:tc>
        <w:tc>
          <w:tcPr>
            <w:tcW w:type="dxa" w:w="3672"/>
            <w:vAlign w:val="center"/>
          </w:tcPr>
          <w:p>
            <w:r/>
            <w:r>
              <w:rPr>
                <w:b w:val="0"/>
                <w:sz w:val="17"/>
              </w:rPr>
              <w:t>Backend/account verification/environment issue, bad payload, or encryption mismatch.</w:t>
            </w:r>
          </w:p>
        </w:tc>
        <w:tc>
          <w:tcPr>
            <w:tcW w:type="dxa" w:w="3888"/>
            <w:vAlign w:val="center"/>
          </w:tcPr>
          <w:p>
            <w:r/>
            <w:r>
              <w:rPr>
                <w:b w:val="0"/>
                <w:sz w:val="17"/>
              </w:rPr>
              <w:t>Capture requestId and check Splunk/account service health. Compare Stage1 vs QC4.</w:t>
            </w:r>
          </w:p>
        </w:tc>
      </w:tr>
      <w:tr>
        <w:tc>
          <w:tcPr>
            <w:tcW w:type="dxa" w:w="2448"/>
            <w:vAlign w:val="center"/>
          </w:tcPr>
          <w:p>
            <w:r/>
            <w:r>
              <w:rPr>
                <w:b w:val="0"/>
                <w:sz w:val="17"/>
              </w:rPr>
              <w:t>401 on steps 06-13 after step 05 fails</w:t>
            </w:r>
          </w:p>
        </w:tc>
        <w:tc>
          <w:tcPr>
            <w:tcW w:type="dxa" w:w="3672"/>
            <w:vAlign w:val="center"/>
          </w:tcPr>
          <w:p>
            <w:r/>
            <w:r>
              <w:rPr>
                <w:b w:val="0"/>
                <w:sz w:val="17"/>
              </w:rPr>
              <w:t>No ENROLL_PROSPECT JWT was issued.</w:t>
            </w:r>
          </w:p>
        </w:tc>
        <w:tc>
          <w:tcPr>
            <w:tcW w:type="dxa" w:w="3888"/>
            <w:vAlign w:val="center"/>
          </w:tcPr>
          <w:p>
            <w:r/>
            <w:r>
              <w:rPr>
                <w:b w:val="0"/>
                <w:sz w:val="17"/>
              </w:rPr>
              <w:t>Fix step 05 first. Do not debug downstream steps until JWT exists.</w:t>
            </w:r>
          </w:p>
        </w:tc>
      </w:tr>
      <w:tr>
        <w:tc>
          <w:tcPr>
            <w:tcW w:type="dxa" w:w="2448"/>
            <w:vAlign w:val="center"/>
          </w:tcPr>
          <w:p>
            <w:r/>
            <w:r>
              <w:rPr>
                <w:b w:val="0"/>
                <w:sz w:val="17"/>
              </w:rPr>
              <w:t>401 with token present</w:t>
            </w:r>
          </w:p>
        </w:tc>
        <w:tc>
          <w:tcPr>
            <w:tcW w:type="dxa" w:w="3672"/>
            <w:vAlign w:val="center"/>
          </w:tcPr>
          <w:p>
            <w:r/>
            <w:r>
              <w:rPr>
                <w:b w:val="0"/>
                <w:sz w:val="17"/>
              </w:rPr>
              <w:t>Wrong token role, often MEMBER JWT instead of ENROLL_PROSPECT.</w:t>
            </w:r>
          </w:p>
        </w:tc>
        <w:tc>
          <w:tcPr>
            <w:tcW w:type="dxa" w:w="3888"/>
            <w:vAlign w:val="center"/>
          </w:tcPr>
          <w:p>
            <w:r/>
            <w:r>
              <w:rPr>
                <w:b w:val="0"/>
                <w:sz w:val="17"/>
              </w:rPr>
              <w:t>Decode/check role or regenerate prospect token.</w:t>
            </w:r>
          </w:p>
        </w:tc>
      </w:tr>
      <w:tr>
        <w:tc>
          <w:tcPr>
            <w:tcW w:type="dxa" w:w="2448"/>
            <w:vAlign w:val="center"/>
          </w:tcPr>
          <w:p>
            <w:r/>
            <w:r>
              <w:rPr>
                <w:b w:val="0"/>
                <w:sz w:val="17"/>
              </w:rPr>
              <w:t>User already exists</w:t>
            </w:r>
          </w:p>
        </w:tc>
        <w:tc>
          <w:tcPr>
            <w:tcW w:type="dxa" w:w="3672"/>
            <w:vAlign w:val="center"/>
          </w:tcPr>
          <w:p>
            <w:r/>
            <w:r>
              <w:rPr>
                <w:b w:val="0"/>
                <w:sz w:val="17"/>
              </w:rPr>
              <w:t>Duplicate username/email/SSN or old encrypted values reused.</w:t>
            </w:r>
          </w:p>
        </w:tc>
        <w:tc>
          <w:tcPr>
            <w:tcW w:type="dxa" w:w="3888"/>
            <w:vAlign w:val="center"/>
          </w:tcPr>
          <w:p>
            <w:r/>
            <w:r>
              <w:rPr>
                <w:b w:val="0"/>
                <w:sz w:val="17"/>
              </w:rPr>
              <w:t>Regenerate unique raw data, re-encrypt once, and verify outgoing body variables.</w:t>
            </w:r>
          </w:p>
        </w:tc>
      </w:tr>
      <w:tr>
        <w:tc>
          <w:tcPr>
            <w:tcW w:type="dxa" w:w="2448"/>
            <w:vAlign w:val="center"/>
          </w:tcPr>
          <w:p>
            <w:r/>
            <w:r>
              <w:rPr>
                <w:b w:val="0"/>
                <w:sz w:val="17"/>
              </w:rPr>
              <w:t>Padding/decryption exception</w:t>
            </w:r>
          </w:p>
        </w:tc>
        <w:tc>
          <w:tcPr>
            <w:tcW w:type="dxa" w:w="3672"/>
            <w:vAlign w:val="center"/>
          </w:tcPr>
          <w:p>
            <w:r/>
            <w:r>
              <w:rPr>
                <w:b w:val="0"/>
                <w:sz w:val="17"/>
              </w:rPr>
              <w:t>Double encryption, wrong key/IV usage, or wrong encrypted field format.</w:t>
            </w:r>
          </w:p>
        </w:tc>
        <w:tc>
          <w:tcPr>
            <w:tcW w:type="dxa" w:w="3888"/>
            <w:vAlign w:val="center"/>
          </w:tcPr>
          <w:p>
            <w:r/>
            <w:r>
              <w:rPr>
                <w:b w:val="0"/>
                <w:sz w:val="17"/>
              </w:rPr>
              <w:t>Re-run certificate setup and verify raw vs encrypted variable flow.</w:t>
            </w:r>
          </w:p>
        </w:tc>
      </w:tr>
      <w:tr>
        <w:tc>
          <w:tcPr>
            <w:tcW w:type="dxa" w:w="2448"/>
            <w:vAlign w:val="center"/>
          </w:tcPr>
          <w:p>
            <w:r/>
            <w:r>
              <w:rPr>
                <w:b w:val="0"/>
                <w:sz w:val="17"/>
              </w:rPr>
              <w:t>404 on enrollmentapi</w:t>
            </w:r>
          </w:p>
        </w:tc>
        <w:tc>
          <w:tcPr>
            <w:tcW w:type="dxa" w:w="3672"/>
            <w:vAlign w:val="center"/>
          </w:tcPr>
          <w:p>
            <w:r/>
            <w:r>
              <w:rPr>
                <w:b w:val="0"/>
                <w:sz w:val="17"/>
              </w:rPr>
              <w:t>Wrong host, often wtn instead of cloud.</w:t>
            </w:r>
          </w:p>
        </w:tc>
        <w:tc>
          <w:tcPr>
            <w:tcW w:type="dxa" w:w="3888"/>
            <w:vAlign w:val="center"/>
          </w:tcPr>
          <w:p>
            <w:r/>
            <w:r>
              <w:rPr>
                <w:b w:val="0"/>
                <w:sz w:val="17"/>
              </w:rPr>
              <w:t>Use mobileMsc.host.url/cloud BFF.</w:t>
            </w:r>
          </w:p>
        </w:tc>
      </w:tr>
      <w:tr>
        <w:tc>
          <w:tcPr>
            <w:tcW w:type="dxa" w:w="2448"/>
            <w:vAlign w:val="center"/>
          </w:tcPr>
          <w:p>
            <w:r/>
            <w:r>
              <w:rPr>
                <w:b w:val="0"/>
                <w:sz w:val="17"/>
              </w:rPr>
              <w:t>426 on plan detail</w:t>
            </w:r>
          </w:p>
        </w:tc>
        <w:tc>
          <w:tcPr>
            <w:tcW w:type="dxa" w:w="3672"/>
            <w:vAlign w:val="center"/>
          </w:tcPr>
          <w:p>
            <w:r/>
            <w:r>
              <w:rPr>
                <w:b w:val="0"/>
                <w:sz w:val="17"/>
              </w:rPr>
              <w:t>Missing or old x-app-version.</w:t>
            </w:r>
          </w:p>
        </w:tc>
        <w:tc>
          <w:tcPr>
            <w:tcW w:type="dxa" w:w="3888"/>
            <w:vAlign w:val="center"/>
          </w:tcPr>
          <w:p>
            <w:r/>
            <w:r>
              <w:rPr>
                <w:b w:val="0"/>
                <w:sz w:val="17"/>
              </w:rPr>
              <w:t>Set x-app-version to supported value such as 3.1.0 or later per KT.</w:t>
            </w:r>
          </w:p>
        </w:tc>
      </w:tr>
      <w:tr>
        <w:tc>
          <w:tcPr>
            <w:tcW w:type="dxa" w:w="2448"/>
            <w:vAlign w:val="center"/>
          </w:tcPr>
          <w:p>
            <w:r/>
            <w:r>
              <w:rPr>
                <w:b w:val="0"/>
                <w:sz w:val="17"/>
              </w:rPr>
              <w:t>Postman variable changed but request still uses old value</w:t>
            </w:r>
          </w:p>
        </w:tc>
        <w:tc>
          <w:tcPr>
            <w:tcW w:type="dxa" w:w="3672"/>
            <w:vAlign w:val="center"/>
          </w:tcPr>
          <w:p>
            <w:r/>
            <w:r>
              <w:rPr>
                <w:b w:val="0"/>
                <w:sz w:val="17"/>
              </w:rPr>
              <w:t>Collection/environment not saved or request references a different variable name.</w:t>
            </w:r>
          </w:p>
        </w:tc>
        <w:tc>
          <w:tcPr>
            <w:tcW w:type="dxa" w:w="3888"/>
            <w:vAlign w:val="center"/>
          </w:tcPr>
          <w:p>
            <w:r/>
            <w:r>
              <w:rPr>
                <w:b w:val="0"/>
                <w:sz w:val="17"/>
              </w:rPr>
              <w:t>Use console to inspect actual body and align variable names.</w:t>
            </w:r>
          </w:p>
        </w:tc>
      </w:tr>
    </w:tbl>
    <w:p>
      <w:pPr>
        <w:spacing w:after="80"/>
      </w:pPr>
    </w:p>
    <w:p>
      <w:pPr>
        <w:pStyle w:val="Heading1"/>
        <w:spacing w:before="160" w:after="80"/>
      </w:pPr>
      <w:r>
        <w:t>10. Action Items and Ownership</w:t>
      </w:r>
    </w:p>
    <w:tbl>
      <w:tblPr>
        <w:tblStyle w:val="TableGrid"/>
        <w:tblW w:type="auto" w:w="0"/>
        <w:jc w:val="center"/>
        <w:tblLook w:firstColumn="1" w:firstRow="1" w:lastColumn="0" w:lastRow="0" w:noHBand="0" w:noVBand="1" w:val="04A0"/>
      </w:tblPr>
      <w:tblGrid>
        <w:gridCol w:w="3552"/>
        <w:gridCol w:w="3552"/>
        <w:gridCol w:w="3552"/>
      </w:tblGrid>
      <w:tr>
        <w:tc>
          <w:tcPr>
            <w:tcW w:type="dxa" w:w="2304"/>
            <w:vAlign w:val="center"/>
            <w:shd w:fill="1F4E79"/>
          </w:tcPr>
          <w:p>
            <w:r/>
            <w:r>
              <w:rPr>
                <w:b/>
                <w:color w:val="FFFFFF"/>
                <w:sz w:val="17"/>
              </w:rPr>
              <w:t>Owner / group</w:t>
            </w:r>
          </w:p>
        </w:tc>
        <w:tc>
          <w:tcPr>
            <w:tcW w:type="dxa" w:w="5040"/>
            <w:vAlign w:val="center"/>
            <w:shd w:fill="1F4E79"/>
          </w:tcPr>
          <w:p>
            <w:r/>
            <w:r>
              <w:rPr>
                <w:b/>
                <w:color w:val="FFFFFF"/>
                <w:sz w:val="17"/>
              </w:rPr>
              <w:t>Action</w:t>
            </w:r>
          </w:p>
        </w:tc>
        <w:tc>
          <w:tcPr>
            <w:tcW w:type="dxa" w:w="2664"/>
            <w:vAlign w:val="center"/>
            <w:shd w:fill="1F4E79"/>
          </w:tcPr>
          <w:p>
            <w:r/>
            <w:r>
              <w:rPr>
                <w:b/>
                <w:color w:val="FFFFFF"/>
                <w:sz w:val="17"/>
              </w:rPr>
              <w:t>Expected output</w:t>
            </w:r>
          </w:p>
        </w:tc>
      </w:tr>
      <w:tr>
        <w:tc>
          <w:tcPr>
            <w:tcW w:type="dxa" w:w="2304"/>
            <w:vAlign w:val="center"/>
          </w:tcPr>
          <w:p>
            <w:r/>
            <w:r>
              <w:rPr>
                <w:b w:val="0"/>
                <w:sz w:val="17"/>
              </w:rPr>
              <w:t>Swapnil / QA lead</w:t>
            </w:r>
          </w:p>
        </w:tc>
        <w:tc>
          <w:tcPr>
            <w:tcW w:type="dxa" w:w="5040"/>
            <w:vAlign w:val="center"/>
          </w:tcPr>
          <w:p>
            <w:r/>
            <w:r>
              <w:rPr>
                <w:b w:val="0"/>
                <w:sz w:val="17"/>
              </w:rPr>
              <w:t>Define final Stage1-first strategy and stop using unstable QC4 for pilot automation until backend issue is understood.</w:t>
            </w:r>
          </w:p>
        </w:tc>
        <w:tc>
          <w:tcPr>
            <w:tcW w:type="dxa" w:w="2664"/>
            <w:vAlign w:val="center"/>
          </w:tcPr>
          <w:p>
            <w:r/>
            <w:r>
              <w:rPr>
                <w:b w:val="0"/>
                <w:sz w:val="17"/>
              </w:rPr>
              <w:t>Decision note and Stage1 execution baseline.</w:t>
            </w:r>
          </w:p>
        </w:tc>
      </w:tr>
      <w:tr>
        <w:tc>
          <w:tcPr>
            <w:tcW w:type="dxa" w:w="2304"/>
            <w:vAlign w:val="center"/>
          </w:tcPr>
          <w:p>
            <w:r/>
            <w:r>
              <w:rPr>
                <w:b w:val="0"/>
                <w:sz w:val="17"/>
              </w:rPr>
              <w:t>Dinesh / Venkatesh</w:t>
            </w:r>
          </w:p>
        </w:tc>
        <w:tc>
          <w:tcPr>
            <w:tcW w:type="dxa" w:w="5040"/>
            <w:vAlign w:val="center"/>
          </w:tcPr>
          <w:p>
            <w:r/>
            <w:r>
              <w:rPr>
                <w:b w:val="0"/>
                <w:sz w:val="17"/>
              </w:rPr>
              <w:t>Clean Postman collection/environment, validate variable names, and prove minimum required payload first.</w:t>
            </w:r>
          </w:p>
        </w:tc>
        <w:tc>
          <w:tcPr>
            <w:tcW w:type="dxa" w:w="2664"/>
            <w:vAlign w:val="center"/>
          </w:tcPr>
          <w:p>
            <w:r/>
            <w:r>
              <w:rPr>
                <w:b w:val="0"/>
                <w:sz w:val="17"/>
              </w:rPr>
              <w:t>Working Stage1 Postman smoke with saved environment.</w:t>
            </w:r>
          </w:p>
        </w:tc>
      </w:tr>
      <w:tr>
        <w:tc>
          <w:tcPr>
            <w:tcW w:type="dxa" w:w="2304"/>
            <w:vAlign w:val="center"/>
          </w:tcPr>
          <w:p>
            <w:r/>
            <w:r>
              <w:rPr>
                <w:b w:val="0"/>
                <w:sz w:val="17"/>
              </w:rPr>
              <w:t>Dinesh / Venkatesh</w:t>
            </w:r>
          </w:p>
        </w:tc>
        <w:tc>
          <w:tcPr>
            <w:tcW w:type="dxa" w:w="5040"/>
            <w:vAlign w:val="center"/>
          </w:tcPr>
          <w:p>
            <w:r/>
            <w:r>
              <w:rPr>
                <w:b w:val="0"/>
                <w:sz w:val="17"/>
              </w:rPr>
              <w:t>Add unique data generation before encryption for username, email, SSN, and beneficiary identity fields.</w:t>
            </w:r>
          </w:p>
        </w:tc>
        <w:tc>
          <w:tcPr>
            <w:tcW w:type="dxa" w:w="2664"/>
            <w:vAlign w:val="center"/>
          </w:tcPr>
          <w:p>
            <w:r/>
            <w:r>
              <w:rPr>
                <w:b w:val="0"/>
                <w:sz w:val="17"/>
              </w:rPr>
              <w:t>Repeatable non-duplicate test data pattern.</w:t>
            </w:r>
          </w:p>
        </w:tc>
      </w:tr>
      <w:tr>
        <w:tc>
          <w:tcPr>
            <w:tcW w:type="dxa" w:w="2304"/>
            <w:vAlign w:val="center"/>
          </w:tcPr>
          <w:p>
            <w:r/>
            <w:r>
              <w:rPr>
                <w:b w:val="0"/>
                <w:sz w:val="17"/>
              </w:rPr>
              <w:t>Priti / QA support</w:t>
            </w:r>
          </w:p>
        </w:tc>
        <w:tc>
          <w:tcPr>
            <w:tcW w:type="dxa" w:w="5040"/>
            <w:vAlign w:val="center"/>
          </w:tcPr>
          <w:p>
            <w:r/>
            <w:r>
              <w:rPr>
                <w:b w:val="0"/>
                <w:sz w:val="17"/>
              </w:rPr>
              <w:t>Use Splunk access to validate 500 errors and backend requestId details.</w:t>
            </w:r>
          </w:p>
        </w:tc>
        <w:tc>
          <w:tcPr>
            <w:tcW w:type="dxa" w:w="2664"/>
            <w:vAlign w:val="center"/>
          </w:tcPr>
          <w:p>
            <w:r/>
            <w:r>
              <w:rPr>
                <w:b w:val="0"/>
                <w:sz w:val="17"/>
              </w:rPr>
              <w:t>Error evidence for backend/environment follow-up.</w:t>
            </w:r>
          </w:p>
        </w:tc>
      </w:tr>
      <w:tr>
        <w:tc>
          <w:tcPr>
            <w:tcW w:type="dxa" w:w="2304"/>
            <w:vAlign w:val="center"/>
          </w:tcPr>
          <w:p>
            <w:r/>
            <w:r>
              <w:rPr>
                <w:b w:val="0"/>
                <w:sz w:val="17"/>
              </w:rPr>
              <w:t>Nick / framework support</w:t>
            </w:r>
          </w:p>
        </w:tc>
        <w:tc>
          <w:tcPr>
            <w:tcW w:type="dxa" w:w="5040"/>
            <w:vAlign w:val="center"/>
          </w:tcPr>
          <w:p>
            <w:r/>
            <w:r>
              <w:rPr>
                <w:b w:val="0"/>
                <w:sz w:val="17"/>
              </w:rPr>
              <w:t>Confirm checked-in jsonapi-encryption JAR usage and README notes for mobile payload generation/decryption.</w:t>
            </w:r>
          </w:p>
        </w:tc>
        <w:tc>
          <w:tcPr>
            <w:tcW w:type="dxa" w:w="2664"/>
            <w:vAlign w:val="center"/>
          </w:tcPr>
          <w:p>
            <w:r/>
            <w:r>
              <w:rPr>
                <w:b w:val="0"/>
                <w:sz w:val="17"/>
              </w:rPr>
              <w:t>Known command/path for payload encryption utility.</w:t>
            </w:r>
          </w:p>
        </w:tc>
      </w:tr>
      <w:tr>
        <w:tc>
          <w:tcPr>
            <w:tcW w:type="dxa" w:w="2304"/>
            <w:vAlign w:val="center"/>
          </w:tcPr>
          <w:p>
            <w:r/>
            <w:r>
              <w:rPr>
                <w:b w:val="0"/>
                <w:sz w:val="17"/>
              </w:rPr>
              <w:t>Automation team</w:t>
            </w:r>
          </w:p>
        </w:tc>
        <w:tc>
          <w:tcPr>
            <w:tcW w:type="dxa" w:w="5040"/>
            <w:vAlign w:val="center"/>
          </w:tcPr>
          <w:p>
            <w:r/>
            <w:r>
              <w:rPr>
                <w:b w:val="0"/>
                <w:sz w:val="17"/>
              </w:rPr>
              <w:t>Create mobile/enrollment Rest Assured module and implement plans/prospect/events/e2e phases.</w:t>
            </w:r>
          </w:p>
        </w:tc>
        <w:tc>
          <w:tcPr>
            <w:tcW w:type="dxa" w:w="2664"/>
            <w:vAlign w:val="center"/>
          </w:tcPr>
          <w:p>
            <w:r/>
            <w:r>
              <w:rPr>
                <w:b w:val="0"/>
                <w:sz w:val="17"/>
              </w:rPr>
              <w:t>Automated Stage1 suite in api-test-automation.</w:t>
            </w:r>
          </w:p>
        </w:tc>
      </w:tr>
      <w:tr>
        <w:tc>
          <w:tcPr>
            <w:tcW w:type="dxa" w:w="2304"/>
            <w:vAlign w:val="center"/>
          </w:tcPr>
          <w:p>
            <w:r/>
            <w:r>
              <w:rPr>
                <w:b w:val="0"/>
                <w:sz w:val="17"/>
              </w:rPr>
              <w:t>Backend/service owners</w:t>
            </w:r>
          </w:p>
        </w:tc>
        <w:tc>
          <w:tcPr>
            <w:tcW w:type="dxa" w:w="5040"/>
            <w:vAlign w:val="center"/>
          </w:tcPr>
          <w:p>
            <w:r/>
            <w:r>
              <w:rPr>
                <w:b w:val="0"/>
                <w:sz w:val="17"/>
              </w:rPr>
              <w:t>Investigate QC4 500 behavior once requestId/log evidence is captured.</w:t>
            </w:r>
          </w:p>
        </w:tc>
        <w:tc>
          <w:tcPr>
            <w:tcW w:type="dxa" w:w="2664"/>
            <w:vAlign w:val="center"/>
          </w:tcPr>
          <w:p>
            <w:r/>
            <w:r>
              <w:rPr>
                <w:b w:val="0"/>
                <w:sz w:val="17"/>
              </w:rPr>
              <w:t>Root cause or environment fix for QC4.</w:t>
            </w:r>
          </w:p>
        </w:tc>
      </w:tr>
    </w:tbl>
    <w:p>
      <w:pPr>
        <w:spacing w:after="80"/>
      </w:pPr>
    </w:p>
    <w:p>
      <w:pPr>
        <w:pStyle w:val="Heading1"/>
        <w:spacing w:before="160" w:after="80"/>
      </w:pPr>
      <w:r>
        <w:t>11. Definition of Done</w:t>
      </w:r>
    </w:p>
    <w:p>
      <w:pPr>
        <w:pStyle w:val="ListBullet"/>
        <w:spacing w:after="40"/>
      </w:pPr>
      <w:r>
        <w:t>Postman Stage1 flow runs from certificate through review-confirm with unique data and produces expected final response.</w:t>
      </w:r>
    </w:p>
    <w:p>
      <w:pPr>
        <w:pStyle w:val="ListBullet"/>
        <w:spacing w:after="40"/>
      </w:pPr>
      <w:r>
        <w:t>run-flow.ps1 or equivalent headless runner produces a readable run report for the same Stage1 flow.</w:t>
      </w:r>
    </w:p>
    <w:p>
      <w:pPr>
        <w:pStyle w:val="ListBullet"/>
        <w:spacing w:after="40"/>
      </w:pPr>
      <w:r>
        <w:t>Rest Assured has automated GET /plans and GET /plans/{planId}.</w:t>
      </w:r>
    </w:p>
    <w:p>
      <w:pPr>
        <w:pStyle w:val="ListBullet"/>
        <w:spacing w:after="40"/>
      </w:pPr>
      <w:r>
        <w:t>Rest Assured can create prospect with encrypted payload and capture ENROLL_PROSPECT JWT.</w:t>
      </w:r>
    </w:p>
    <w:p>
      <w:pPr>
        <w:pStyle w:val="ListBullet"/>
        <w:spacing w:after="40"/>
      </w:pPr>
      <w:r>
        <w:t>Rest Assured can chain parent metadata across owner, address, beneficiary, bank, allocation, and review-confirm steps.</w:t>
      </w:r>
    </w:p>
    <w:p>
      <w:pPr>
        <w:pStyle w:val="ListBullet"/>
        <w:spacing w:after="40"/>
      </w:pPr>
      <w:r>
        <w:t>Automation logs include endpoint, planId, correlationId, eventId, seqNum, requestId where available, and sanitized test data identifiers.</w:t>
      </w:r>
    </w:p>
    <w:p>
      <w:pPr>
        <w:pStyle w:val="ListBullet"/>
        <w:spacing w:after="40"/>
      </w:pPr>
      <w:r>
        <w:t>CI pipeline can run Stage1 smoke suite and publish results/artifacts.</w:t>
      </w:r>
    </w:p>
    <w:p>
      <w:pPr>
        <w:pStyle w:val="ListBullet"/>
        <w:spacing w:after="40"/>
      </w:pPr>
      <w:r>
        <w:t>QC4 execution is either passing or clearly documented as blocked by backend/environment issue with evidence.</w:t>
      </w:r>
    </w:p>
    <w:p>
      <w:pPr>
        <w:pStyle w:val="Heading1"/>
        <w:spacing w:before="160" w:after="80"/>
      </w:pPr>
      <w:r>
        <w:t>12. Implementation Checklist</w:t>
      </w:r>
    </w:p>
    <w:tbl>
      <w:tblPr>
        <w:tblStyle w:val="TableGrid"/>
        <w:tblW w:type="auto" w:w="0"/>
        <w:jc w:val="center"/>
        <w:tblLook w:firstColumn="1" w:firstRow="1" w:lastColumn="0" w:lastRow="0" w:noHBand="0" w:noVBand="1" w:val="04A0"/>
      </w:tblPr>
      <w:tblGrid>
        <w:gridCol w:w="3552"/>
        <w:gridCol w:w="3552"/>
        <w:gridCol w:w="3552"/>
      </w:tblGrid>
      <w:tr>
        <w:tc>
          <w:tcPr>
            <w:tcW w:type="dxa" w:w="504"/>
            <w:vAlign w:val="center"/>
            <w:shd w:fill="1F4E79"/>
          </w:tcPr>
          <w:p>
            <w:r/>
            <w:r>
              <w:rPr>
                <w:b/>
                <w:color w:val="FFFFFF"/>
                <w:sz w:val="17"/>
              </w:rPr>
              <w:t>#</w:t>
            </w:r>
          </w:p>
        </w:tc>
        <w:tc>
          <w:tcPr>
            <w:tcW w:type="dxa" w:w="7560"/>
            <w:vAlign w:val="center"/>
            <w:shd w:fill="1F4E79"/>
          </w:tcPr>
          <w:p>
            <w:r/>
            <w:r>
              <w:rPr>
                <w:b/>
                <w:color w:val="FFFFFF"/>
                <w:sz w:val="17"/>
              </w:rPr>
              <w:t>Checklist item</w:t>
            </w:r>
          </w:p>
        </w:tc>
        <w:tc>
          <w:tcPr>
            <w:tcW w:type="dxa" w:w="1584"/>
            <w:vAlign w:val="center"/>
            <w:shd w:fill="1F4E79"/>
          </w:tcPr>
          <w:p>
            <w:r/>
            <w:r>
              <w:rPr>
                <w:b/>
                <w:color w:val="FFFFFF"/>
                <w:sz w:val="17"/>
              </w:rPr>
              <w:t>Status</w:t>
            </w:r>
          </w:p>
        </w:tc>
      </w:tr>
      <w:tr>
        <w:tc>
          <w:tcPr>
            <w:tcW w:type="dxa" w:w="504"/>
            <w:vAlign w:val="center"/>
          </w:tcPr>
          <w:p>
            <w:r/>
            <w:r>
              <w:rPr>
                <w:b w:val="0"/>
                <w:sz w:val="17"/>
              </w:rPr>
              <w:t>1</w:t>
            </w:r>
          </w:p>
        </w:tc>
        <w:tc>
          <w:tcPr>
            <w:tcW w:type="dxa" w:w="7560"/>
            <w:vAlign w:val="center"/>
          </w:tcPr>
          <w:p>
            <w:r/>
            <w:r>
              <w:rPr>
                <w:b w:val="0"/>
                <w:sz w:val="17"/>
              </w:rPr>
              <w:t>Confirm Stage1 environment URLs and planId/branding values.</w:t>
            </w:r>
          </w:p>
        </w:tc>
        <w:tc>
          <w:tcPr>
            <w:tcW w:type="dxa" w:w="1584"/>
            <w:vAlign w:val="center"/>
          </w:tcPr>
          <w:p>
            <w:r/>
            <w:r>
              <w:rPr>
                <w:b w:val="0"/>
                <w:sz w:val="17"/>
              </w:rPr>
              <w:t>Not started</w:t>
            </w:r>
          </w:p>
        </w:tc>
      </w:tr>
      <w:tr>
        <w:tc>
          <w:tcPr>
            <w:tcW w:type="dxa" w:w="504"/>
            <w:vAlign w:val="center"/>
          </w:tcPr>
          <w:p>
            <w:r/>
            <w:r>
              <w:rPr>
                <w:b w:val="0"/>
                <w:sz w:val="17"/>
              </w:rPr>
              <w:t>2</w:t>
            </w:r>
          </w:p>
        </w:tc>
        <w:tc>
          <w:tcPr>
            <w:tcW w:type="dxa" w:w="7560"/>
            <w:vAlign w:val="center"/>
          </w:tcPr>
          <w:p>
            <w:r/>
            <w:r>
              <w:rPr>
                <w:b w:val="0"/>
                <w:sz w:val="17"/>
              </w:rPr>
              <w:t>Consolidate Postman collection and Stage1 environment.</w:t>
            </w:r>
          </w:p>
        </w:tc>
        <w:tc>
          <w:tcPr>
            <w:tcW w:type="dxa" w:w="1584"/>
            <w:vAlign w:val="center"/>
          </w:tcPr>
          <w:p>
            <w:r/>
            <w:r>
              <w:rPr>
                <w:b w:val="0"/>
                <w:sz w:val="17"/>
              </w:rPr>
              <w:t>Not started</w:t>
            </w:r>
          </w:p>
        </w:tc>
      </w:tr>
      <w:tr>
        <w:tc>
          <w:tcPr>
            <w:tcW w:type="dxa" w:w="504"/>
            <w:vAlign w:val="center"/>
          </w:tcPr>
          <w:p>
            <w:r/>
            <w:r>
              <w:rPr>
                <w:b w:val="0"/>
                <w:sz w:val="17"/>
              </w:rPr>
              <w:t>3</w:t>
            </w:r>
          </w:p>
        </w:tc>
        <w:tc>
          <w:tcPr>
            <w:tcW w:type="dxa" w:w="7560"/>
            <w:vAlign w:val="center"/>
          </w:tcPr>
          <w:p>
            <w:r/>
            <w:r>
              <w:rPr>
                <w:b w:val="0"/>
                <w:sz w:val="17"/>
              </w:rPr>
              <w:t>Add/confirm certificate step sets encAesKey and aesKeyPlain.</w:t>
            </w:r>
          </w:p>
        </w:tc>
        <w:tc>
          <w:tcPr>
            <w:tcW w:type="dxa" w:w="1584"/>
            <w:vAlign w:val="center"/>
          </w:tcPr>
          <w:p>
            <w:r/>
            <w:r>
              <w:rPr>
                <w:b w:val="0"/>
                <w:sz w:val="17"/>
              </w:rPr>
              <w:t>Not started</w:t>
            </w:r>
          </w:p>
        </w:tc>
      </w:tr>
      <w:tr>
        <w:tc>
          <w:tcPr>
            <w:tcW w:type="dxa" w:w="504"/>
            <w:vAlign w:val="center"/>
          </w:tcPr>
          <w:p>
            <w:r/>
            <w:r>
              <w:rPr>
                <w:b w:val="0"/>
                <w:sz w:val="17"/>
              </w:rPr>
              <w:t>4</w:t>
            </w:r>
          </w:p>
        </w:tc>
        <w:tc>
          <w:tcPr>
            <w:tcW w:type="dxa" w:w="7560"/>
            <w:vAlign w:val="center"/>
          </w:tcPr>
          <w:p>
            <w:r/>
            <w:r>
              <w:rPr>
                <w:b w:val="0"/>
                <w:sz w:val="17"/>
              </w:rPr>
              <w:t>Add unique test data generation before encryption.</w:t>
            </w:r>
          </w:p>
        </w:tc>
        <w:tc>
          <w:tcPr>
            <w:tcW w:type="dxa" w:w="1584"/>
            <w:vAlign w:val="center"/>
          </w:tcPr>
          <w:p>
            <w:r/>
            <w:r>
              <w:rPr>
                <w:b w:val="0"/>
                <w:sz w:val="17"/>
              </w:rPr>
              <w:t>Not started</w:t>
            </w:r>
          </w:p>
        </w:tc>
      </w:tr>
      <w:tr>
        <w:tc>
          <w:tcPr>
            <w:tcW w:type="dxa" w:w="504"/>
            <w:vAlign w:val="center"/>
          </w:tcPr>
          <w:p>
            <w:r/>
            <w:r>
              <w:rPr>
                <w:b w:val="0"/>
                <w:sz w:val="17"/>
              </w:rPr>
              <w:t>5</w:t>
            </w:r>
          </w:p>
        </w:tc>
        <w:tc>
          <w:tcPr>
            <w:tcW w:type="dxa" w:w="7560"/>
            <w:vAlign w:val="center"/>
          </w:tcPr>
          <w:p>
            <w:r/>
            <w:r>
              <w:rPr>
                <w:b w:val="0"/>
                <w:sz w:val="17"/>
              </w:rPr>
              <w:t>Prove create prospect and JWT capture.</w:t>
            </w:r>
          </w:p>
        </w:tc>
        <w:tc>
          <w:tcPr>
            <w:tcW w:type="dxa" w:w="1584"/>
            <w:vAlign w:val="center"/>
          </w:tcPr>
          <w:p>
            <w:r/>
            <w:r>
              <w:rPr>
                <w:b w:val="0"/>
                <w:sz w:val="17"/>
              </w:rPr>
              <w:t>Not started</w:t>
            </w:r>
          </w:p>
        </w:tc>
      </w:tr>
      <w:tr>
        <w:tc>
          <w:tcPr>
            <w:tcW w:type="dxa" w:w="504"/>
            <w:vAlign w:val="center"/>
          </w:tcPr>
          <w:p>
            <w:r/>
            <w:r>
              <w:rPr>
                <w:b w:val="0"/>
                <w:sz w:val="17"/>
              </w:rPr>
              <w:t>6</w:t>
            </w:r>
          </w:p>
        </w:tc>
        <w:tc>
          <w:tcPr>
            <w:tcW w:type="dxa" w:w="7560"/>
            <w:vAlign w:val="center"/>
          </w:tcPr>
          <w:p>
            <w:r/>
            <w:r>
              <w:rPr>
                <w:b w:val="0"/>
                <w:sz w:val="17"/>
              </w:rPr>
              <w:t>Prove full Postman event chain.</w:t>
            </w:r>
          </w:p>
        </w:tc>
        <w:tc>
          <w:tcPr>
            <w:tcW w:type="dxa" w:w="1584"/>
            <w:vAlign w:val="center"/>
          </w:tcPr>
          <w:p>
            <w:r/>
            <w:r>
              <w:rPr>
                <w:b w:val="0"/>
                <w:sz w:val="17"/>
              </w:rPr>
              <w:t>Not started</w:t>
            </w:r>
          </w:p>
        </w:tc>
      </w:tr>
      <w:tr>
        <w:tc>
          <w:tcPr>
            <w:tcW w:type="dxa" w:w="504"/>
            <w:vAlign w:val="center"/>
          </w:tcPr>
          <w:p>
            <w:r/>
            <w:r>
              <w:rPr>
                <w:b w:val="0"/>
                <w:sz w:val="17"/>
              </w:rPr>
              <w:t>7</w:t>
            </w:r>
          </w:p>
        </w:tc>
        <w:tc>
          <w:tcPr>
            <w:tcW w:type="dxa" w:w="7560"/>
            <w:vAlign w:val="center"/>
          </w:tcPr>
          <w:p>
            <w:r/>
            <w:r>
              <w:rPr>
                <w:b w:val="0"/>
                <w:sz w:val="17"/>
              </w:rPr>
              <w:t>Document manual run steps and known failure handling.</w:t>
            </w:r>
          </w:p>
        </w:tc>
        <w:tc>
          <w:tcPr>
            <w:tcW w:type="dxa" w:w="1584"/>
            <w:vAlign w:val="center"/>
          </w:tcPr>
          <w:p>
            <w:r/>
            <w:r>
              <w:rPr>
                <w:b w:val="0"/>
                <w:sz w:val="17"/>
              </w:rPr>
              <w:t>Not started</w:t>
            </w:r>
          </w:p>
        </w:tc>
      </w:tr>
      <w:tr>
        <w:tc>
          <w:tcPr>
            <w:tcW w:type="dxa" w:w="504"/>
            <w:vAlign w:val="center"/>
          </w:tcPr>
          <w:p>
            <w:r/>
            <w:r>
              <w:rPr>
                <w:b w:val="0"/>
                <w:sz w:val="17"/>
              </w:rPr>
              <w:t>8</w:t>
            </w:r>
          </w:p>
        </w:tc>
        <w:tc>
          <w:tcPr>
            <w:tcW w:type="dxa" w:w="7560"/>
            <w:vAlign w:val="center"/>
          </w:tcPr>
          <w:p>
            <w:r/>
            <w:r>
              <w:rPr>
                <w:b w:val="0"/>
                <w:sz w:val="17"/>
              </w:rPr>
              <w:t>Create mobile/enrollment automation module.</w:t>
            </w:r>
          </w:p>
        </w:tc>
        <w:tc>
          <w:tcPr>
            <w:tcW w:type="dxa" w:w="1584"/>
            <w:vAlign w:val="center"/>
          </w:tcPr>
          <w:p>
            <w:r/>
            <w:r>
              <w:rPr>
                <w:b w:val="0"/>
                <w:sz w:val="17"/>
              </w:rPr>
              <w:t>Not started</w:t>
            </w:r>
          </w:p>
        </w:tc>
      </w:tr>
      <w:tr>
        <w:tc>
          <w:tcPr>
            <w:tcW w:type="dxa" w:w="504"/>
            <w:vAlign w:val="center"/>
          </w:tcPr>
          <w:p>
            <w:r/>
            <w:r>
              <w:rPr>
                <w:b w:val="0"/>
                <w:sz w:val="17"/>
              </w:rPr>
              <w:t>9</w:t>
            </w:r>
          </w:p>
        </w:tc>
        <w:tc>
          <w:tcPr>
            <w:tcW w:type="dxa" w:w="7560"/>
            <w:vAlign w:val="center"/>
          </w:tcPr>
          <w:p>
            <w:r/>
            <w:r>
              <w:rPr>
                <w:b w:val="0"/>
                <w:sz w:val="17"/>
              </w:rPr>
              <w:t>Integrate jsonapi-encryption utility.</w:t>
            </w:r>
          </w:p>
        </w:tc>
        <w:tc>
          <w:tcPr>
            <w:tcW w:type="dxa" w:w="1584"/>
            <w:vAlign w:val="center"/>
          </w:tcPr>
          <w:p>
            <w:r/>
            <w:r>
              <w:rPr>
                <w:b w:val="0"/>
                <w:sz w:val="17"/>
              </w:rPr>
              <w:t>Not started</w:t>
            </w:r>
          </w:p>
        </w:tc>
      </w:tr>
      <w:tr>
        <w:tc>
          <w:tcPr>
            <w:tcW w:type="dxa" w:w="504"/>
            <w:vAlign w:val="center"/>
          </w:tcPr>
          <w:p>
            <w:r/>
            <w:r>
              <w:rPr>
                <w:b w:val="0"/>
                <w:sz w:val="17"/>
              </w:rPr>
              <w:t>10</w:t>
            </w:r>
          </w:p>
        </w:tc>
        <w:tc>
          <w:tcPr>
            <w:tcW w:type="dxa" w:w="7560"/>
            <w:vAlign w:val="center"/>
          </w:tcPr>
          <w:p>
            <w:r/>
            <w:r>
              <w:rPr>
                <w:b w:val="0"/>
                <w:sz w:val="17"/>
              </w:rPr>
              <w:t>Automate plans endpoint first.</w:t>
            </w:r>
          </w:p>
        </w:tc>
        <w:tc>
          <w:tcPr>
            <w:tcW w:type="dxa" w:w="1584"/>
            <w:vAlign w:val="center"/>
          </w:tcPr>
          <w:p>
            <w:r/>
            <w:r>
              <w:rPr>
                <w:b w:val="0"/>
                <w:sz w:val="17"/>
              </w:rPr>
              <w:t>Not started</w:t>
            </w:r>
          </w:p>
        </w:tc>
      </w:tr>
      <w:tr>
        <w:tc>
          <w:tcPr>
            <w:tcW w:type="dxa" w:w="504"/>
            <w:vAlign w:val="center"/>
          </w:tcPr>
          <w:p>
            <w:r/>
            <w:r>
              <w:rPr>
                <w:b w:val="0"/>
                <w:sz w:val="17"/>
              </w:rPr>
              <w:t>11</w:t>
            </w:r>
          </w:p>
        </w:tc>
        <w:tc>
          <w:tcPr>
            <w:tcW w:type="dxa" w:w="7560"/>
            <w:vAlign w:val="center"/>
          </w:tcPr>
          <w:p>
            <w:r/>
            <w:r>
              <w:rPr>
                <w:b w:val="0"/>
                <w:sz w:val="17"/>
              </w:rPr>
              <w:t>Automate prospect creation.</w:t>
            </w:r>
          </w:p>
        </w:tc>
        <w:tc>
          <w:tcPr>
            <w:tcW w:type="dxa" w:w="1584"/>
            <w:vAlign w:val="center"/>
          </w:tcPr>
          <w:p>
            <w:r/>
            <w:r>
              <w:rPr>
                <w:b w:val="0"/>
                <w:sz w:val="17"/>
              </w:rPr>
              <w:t>Not started</w:t>
            </w:r>
          </w:p>
        </w:tc>
      </w:tr>
      <w:tr>
        <w:tc>
          <w:tcPr>
            <w:tcW w:type="dxa" w:w="504"/>
            <w:vAlign w:val="center"/>
          </w:tcPr>
          <w:p>
            <w:r/>
            <w:r>
              <w:rPr>
                <w:b w:val="0"/>
                <w:sz w:val="17"/>
              </w:rPr>
              <w:t>12</w:t>
            </w:r>
          </w:p>
        </w:tc>
        <w:tc>
          <w:tcPr>
            <w:tcW w:type="dxa" w:w="7560"/>
            <w:vAlign w:val="center"/>
          </w:tcPr>
          <w:p>
            <w:r/>
            <w:r>
              <w:rPr>
                <w:b w:val="0"/>
                <w:sz w:val="17"/>
              </w:rPr>
              <w:t>Automate event state chain and full E2E flow.</w:t>
            </w:r>
          </w:p>
        </w:tc>
        <w:tc>
          <w:tcPr>
            <w:tcW w:type="dxa" w:w="1584"/>
            <w:vAlign w:val="center"/>
          </w:tcPr>
          <w:p>
            <w:r/>
            <w:r>
              <w:rPr>
                <w:b w:val="0"/>
                <w:sz w:val="17"/>
              </w:rPr>
              <w:t>Not started</w:t>
            </w:r>
          </w:p>
        </w:tc>
      </w:tr>
      <w:tr>
        <w:tc>
          <w:tcPr>
            <w:tcW w:type="dxa" w:w="504"/>
            <w:vAlign w:val="center"/>
          </w:tcPr>
          <w:p>
            <w:r/>
            <w:r>
              <w:rPr>
                <w:b w:val="0"/>
                <w:sz w:val="17"/>
              </w:rPr>
              <w:t>13</w:t>
            </w:r>
          </w:p>
        </w:tc>
        <w:tc>
          <w:tcPr>
            <w:tcW w:type="dxa" w:w="7560"/>
            <w:vAlign w:val="center"/>
          </w:tcPr>
          <w:p>
            <w:r/>
            <w:r>
              <w:rPr>
                <w:b w:val="0"/>
                <w:sz w:val="17"/>
              </w:rPr>
              <w:t>Add pipeline profile and report publishing.</w:t>
            </w:r>
          </w:p>
        </w:tc>
        <w:tc>
          <w:tcPr>
            <w:tcW w:type="dxa" w:w="1584"/>
            <w:vAlign w:val="center"/>
          </w:tcPr>
          <w:p>
            <w:r/>
            <w:r>
              <w:rPr>
                <w:b w:val="0"/>
                <w:sz w:val="17"/>
              </w:rPr>
              <w:t>Not started</w:t>
            </w:r>
          </w:p>
        </w:tc>
      </w:tr>
      <w:tr>
        <w:tc>
          <w:tcPr>
            <w:tcW w:type="dxa" w:w="504"/>
            <w:vAlign w:val="center"/>
          </w:tcPr>
          <w:p>
            <w:r/>
            <w:r>
              <w:rPr>
                <w:b w:val="0"/>
                <w:sz w:val="17"/>
              </w:rPr>
              <w:t>14</w:t>
            </w:r>
          </w:p>
        </w:tc>
        <w:tc>
          <w:tcPr>
            <w:tcW w:type="dxa" w:w="7560"/>
            <w:vAlign w:val="center"/>
          </w:tcPr>
          <w:p>
            <w:r/>
            <w:r>
              <w:rPr>
                <w:b w:val="0"/>
                <w:sz w:val="17"/>
              </w:rPr>
              <w:t>Revisit QC4 after Splunk/root cause evidence.</w:t>
            </w:r>
          </w:p>
        </w:tc>
        <w:tc>
          <w:tcPr>
            <w:tcW w:type="dxa" w:w="1584"/>
            <w:vAlign w:val="center"/>
          </w:tcPr>
          <w:p>
            <w:r/>
            <w:r>
              <w:rPr>
                <w:b w:val="0"/>
                <w:sz w:val="17"/>
              </w:rPr>
              <w:t>Not started</w:t>
            </w:r>
          </w:p>
        </w:tc>
      </w:tr>
    </w:tbl>
    <w:p>
      <w:pPr>
        <w:spacing w:after="80"/>
      </w:pPr>
    </w:p>
    <w:p>
      <w:pPr>
        <w:pStyle w:val="Heading1"/>
        <w:spacing w:before="160" w:after="80"/>
      </w:pPr>
      <w:r>
        <w:t>Appendix A - Quick Commands and References</w:t>
      </w:r>
    </w:p>
    <w:tbl>
      <w:tblPr>
        <w:tblStyle w:val="TableGrid"/>
        <w:tblW w:type="auto" w:w="0"/>
        <w:tblLook w:firstColumn="1" w:firstRow="1" w:lastColumn="0" w:lastRow="0" w:noHBand="0" w:noVBand="1" w:val="04A0"/>
      </w:tblPr>
      <w:tblGrid>
        <w:gridCol w:w="10656"/>
      </w:tblGrid>
      <w:tr>
        <w:tc>
          <w:tcPr>
            <w:tcW w:type="dxa" w:w="10656"/>
            <w:shd w:fill="F7F7F7"/>
          </w:tcPr>
          <w:p>
            <w:r>
              <w:rPr>
                <w:rFonts w:ascii="Courier New" w:hAnsi="Courier New" w:eastAsia="Courier New"/>
                <w:sz w:val="17"/>
              </w:rPr>
              <w:t>Postman / PowerShell smoke</w:t>
              <w:br/>
              <w:br/>
              <w:t>cd unite-enrollment\EnrollmentPostman</w:t>
              <w:br/>
              <w:t>.\run-flow.ps1 -EnvName stage1 -PlanId okdirect</w:t>
              <w:br/>
              <w:br/>
              <w:t># With manual JWT if step 05 is known-bad but a valid prospect token is available</w:t>
              <w:br/>
              <w:t>.\run-flow.ps1 -EnvName stage1 -PlanId okdirect -JwtTokenManual "&lt;ENROLL_PROSPECT_JWT&gt;"</w:t>
            </w:r>
          </w:p>
        </w:tc>
      </w:tr>
    </w:tbl>
    <w:p>
      <w:pPr>
        <w:spacing w:after="80"/>
      </w:pPr>
    </w:p>
    <w:tbl>
      <w:tblPr>
        <w:tblStyle w:val="TableGrid"/>
        <w:tblW w:type="auto" w:w="0"/>
        <w:tblLook w:firstColumn="1" w:firstRow="1" w:lastColumn="0" w:lastRow="0" w:noHBand="0" w:noVBand="1" w:val="04A0"/>
      </w:tblPr>
      <w:tblGrid>
        <w:gridCol w:w="10656"/>
      </w:tblGrid>
      <w:tr>
        <w:tc>
          <w:tcPr>
            <w:tcW w:type="dxa" w:w="10656"/>
            <w:shd w:fill="F7F7F7"/>
          </w:tcPr>
          <w:p>
            <w:r>
              <w:rPr>
                <w:rFonts w:ascii="Courier New" w:hAnsi="Courier New" w:eastAsia="Courier New"/>
                <w:sz w:val="17"/>
              </w:rPr>
              <w:t>Rest Assured implementation pattern</w:t>
              <w:br/>
              <w:br/>
              <w:t>1. configureMobileEncryption() in base setup</w:t>
              <w:br/>
              <w:t>2. Encrypt raw JSON using EncryptHelper.encryptJson(rawJson, MOBILE_TYPE.ENROLLMENT, environment)</w:t>
              <w:br/>
              <w:t>3. POST /enrollments/prospects without Bearer token</w:t>
              <w:br/>
              <w:t>4. Capture x-enc-jwttoken / jwtToken</w:t>
              <w:br/>
              <w:t>5. For each event request, add Authorization: Bearer &lt;jwtToken&gt;</w:t>
              <w:br/>
              <w:t>6. Parse prior response and build parent metadata for next event</w:t>
            </w:r>
          </w:p>
        </w:tc>
      </w:tr>
    </w:tbl>
    <w:p>
      <w:pPr>
        <w:spacing w:after="80"/>
      </w:pPr>
    </w:p>
    <w:tbl>
      <w:tblPr>
        <w:tblStyle w:val="TableGrid"/>
        <w:tblW w:type="auto" w:w="0"/>
        <w:jc w:val="center"/>
        <w:tblLook w:firstColumn="1" w:firstRow="1" w:lastColumn="0" w:lastRow="0" w:noHBand="0" w:noVBand="1" w:val="04A0"/>
      </w:tblPr>
      <w:tblGrid>
        <w:gridCol w:w="5328"/>
        <w:gridCol w:w="5328"/>
      </w:tblGrid>
      <w:tr>
        <w:tc>
          <w:tcPr>
            <w:tcW w:type="dxa" w:w="4320"/>
            <w:vAlign w:val="center"/>
            <w:shd w:fill="1F4E79"/>
          </w:tcPr>
          <w:p>
            <w:r/>
            <w:r>
              <w:rPr>
                <w:b/>
                <w:color w:val="FFFFFF"/>
                <w:sz w:val="17"/>
              </w:rPr>
              <w:t>Reference</w:t>
            </w:r>
          </w:p>
        </w:tc>
        <w:tc>
          <w:tcPr>
            <w:tcW w:type="dxa" w:w="5616"/>
            <w:vAlign w:val="center"/>
            <w:shd w:fill="1F4E79"/>
          </w:tcPr>
          <w:p>
            <w:r/>
            <w:r>
              <w:rPr>
                <w:b/>
                <w:color w:val="FFFFFF"/>
                <w:sz w:val="17"/>
              </w:rPr>
              <w:t>Use</w:t>
            </w:r>
          </w:p>
        </w:tc>
      </w:tr>
      <w:tr>
        <w:tc>
          <w:tcPr>
            <w:tcW w:type="dxa" w:w="4320"/>
            <w:vAlign w:val="center"/>
          </w:tcPr>
          <w:p>
            <w:r/>
            <w:r>
              <w:rPr>
                <w:b w:val="0"/>
                <w:sz w:val="17"/>
              </w:rPr>
              <w:t>EnrollmentPostman/ENDPOINTS.md</w:t>
            </w:r>
          </w:p>
        </w:tc>
        <w:tc>
          <w:tcPr>
            <w:tcW w:type="dxa" w:w="5616"/>
            <w:vAlign w:val="center"/>
          </w:tcPr>
          <w:p>
            <w:r/>
            <w:r>
              <w:rPr>
                <w:b w:val="0"/>
                <w:sz w:val="17"/>
              </w:rPr>
              <w:t>Endpoint order and event naming.</w:t>
            </w:r>
          </w:p>
        </w:tc>
      </w:tr>
      <w:tr>
        <w:tc>
          <w:tcPr>
            <w:tcW w:type="dxa" w:w="4320"/>
            <w:vAlign w:val="center"/>
          </w:tcPr>
          <w:p>
            <w:r/>
            <w:r>
              <w:rPr>
                <w:b w:val="0"/>
                <w:sz w:val="17"/>
              </w:rPr>
              <w:t>EnrollmentPostman/TROUBLESHOOTING.md</w:t>
            </w:r>
          </w:p>
        </w:tc>
        <w:tc>
          <w:tcPr>
            <w:tcW w:type="dxa" w:w="5616"/>
            <w:vAlign w:val="center"/>
          </w:tcPr>
          <w:p>
            <w:r/>
            <w:r>
              <w:rPr>
                <w:b w:val="0"/>
                <w:sz w:val="17"/>
              </w:rPr>
              <w:t>Known failure patterns.</w:t>
            </w:r>
          </w:p>
        </w:tc>
      </w:tr>
      <w:tr>
        <w:tc>
          <w:tcPr>
            <w:tcW w:type="dxa" w:w="4320"/>
            <w:vAlign w:val="center"/>
          </w:tcPr>
          <w:p>
            <w:r/>
            <w:r>
              <w:rPr>
                <w:b w:val="0"/>
                <w:sz w:val="17"/>
              </w:rPr>
              <w:t>EnrollmentPostman/run-flow.ps1</w:t>
            </w:r>
          </w:p>
        </w:tc>
        <w:tc>
          <w:tcPr>
            <w:tcW w:type="dxa" w:w="5616"/>
            <w:vAlign w:val="center"/>
          </w:tcPr>
          <w:p>
            <w:r/>
            <w:r>
              <w:rPr>
                <w:b w:val="0"/>
                <w:sz w:val="17"/>
              </w:rPr>
              <w:t>Existing orchestration/state-chaining reference.</w:t>
            </w:r>
          </w:p>
        </w:tc>
      </w:tr>
      <w:tr>
        <w:tc>
          <w:tcPr>
            <w:tcW w:type="dxa" w:w="4320"/>
            <w:vAlign w:val="center"/>
          </w:tcPr>
          <w:p>
            <w:r/>
            <w:r>
              <w:rPr>
                <w:b w:val="0"/>
                <w:sz w:val="17"/>
              </w:rPr>
              <w:t>api-test-automation/jsonapi/jsonapi-encryption/docs/Readme.txt</w:t>
            </w:r>
          </w:p>
        </w:tc>
        <w:tc>
          <w:tcPr>
            <w:tcW w:type="dxa" w:w="5616"/>
            <w:vAlign w:val="center"/>
          </w:tcPr>
          <w:p>
            <w:r/>
            <w:r>
              <w:rPr>
                <w:b w:val="0"/>
                <w:sz w:val="17"/>
              </w:rPr>
              <w:t>Mobile payload encryption/decryption JAR notes.</w:t>
            </w:r>
          </w:p>
        </w:tc>
      </w:tr>
      <w:tr>
        <w:tc>
          <w:tcPr>
            <w:tcW w:type="dxa" w:w="4320"/>
            <w:vAlign w:val="center"/>
          </w:tcPr>
          <w:p>
            <w:r/>
            <w:r>
              <w:rPr>
                <w:b w:val="0"/>
                <w:sz w:val="17"/>
              </w:rPr>
              <w:t>src/main/java/.../resource/EnrollmentResource.java</w:t>
            </w:r>
          </w:p>
        </w:tc>
        <w:tc>
          <w:tcPr>
            <w:tcW w:type="dxa" w:w="5616"/>
            <w:vAlign w:val="center"/>
          </w:tcPr>
          <w:p>
            <w:r/>
            <w:r>
              <w:rPr>
                <w:b w:val="0"/>
                <w:sz w:val="17"/>
              </w:rPr>
              <w:t>JWT role and endpoint access rules.</w:t>
            </w:r>
          </w:p>
        </w:tc>
      </w:tr>
      <w:tr>
        <w:tc>
          <w:tcPr>
            <w:tcW w:type="dxa" w:w="4320"/>
            <w:vAlign w:val="center"/>
          </w:tcPr>
          <w:p>
            <w:r/>
            <w:r>
              <w:rPr>
                <w:b w:val="0"/>
                <w:sz w:val="17"/>
              </w:rPr>
              <w:t>src/main/java/.../service/EnrollmentService.java</w:t>
            </w:r>
          </w:p>
        </w:tc>
        <w:tc>
          <w:tcPr>
            <w:tcW w:type="dxa" w:w="5616"/>
            <w:vAlign w:val="center"/>
          </w:tcPr>
          <w:p>
            <w:r/>
            <w:r>
              <w:rPr>
                <w:b w:val="0"/>
                <w:sz w:val="17"/>
              </w:rPr>
              <w:t>Prospect and final review-confirm business flow.</w:t>
            </w:r>
          </w:p>
        </w:tc>
      </w:tr>
      <w:tr>
        <w:tc>
          <w:tcPr>
            <w:tcW w:type="dxa" w:w="4320"/>
            <w:vAlign w:val="center"/>
          </w:tcPr>
          <w:p>
            <w:r/>
            <w:r>
              <w:rPr>
                <w:b w:val="0"/>
                <w:sz w:val="17"/>
              </w:rPr>
              <w:t>src/main/java/.../gateway/AccountGateway.java</w:t>
            </w:r>
          </w:p>
        </w:tc>
        <w:tc>
          <w:tcPr>
            <w:tcW w:type="dxa" w:w="5616"/>
            <w:vAlign w:val="center"/>
          </w:tcPr>
          <w:p>
            <w:r/>
            <w:r>
              <w:rPr>
                <w:b w:val="0"/>
                <w:sz w:val="17"/>
              </w:rPr>
              <w:t>Account/prospect verification downstream calls.</w:t>
            </w:r>
          </w:p>
        </w:tc>
      </w:tr>
    </w:tbl>
    <w:p>
      <w:pPr>
        <w:spacing w:after="80"/>
      </w:pPr>
    </w:p>
    <w:p>
      <w:pPr>
        <w:spacing w:after="80"/>
        <w:jc w:val="center"/>
      </w:pPr>
      <w:r>
        <w:rPr>
          <w:i/>
          <w:color w:val="595959"/>
          <w:sz w:val="16"/>
        </w:rPr>
        <w:t>Prepared for implementation by QA Automation team. Keep this document updated as the Postman and Rest Assured flows are stabilized.</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Swapnil Patil</dc:creator>
  <keywords/>
  <dc:description>generated by python-docx</dc:description>
  <lastModifiedBy>Swapnil Patil</lastModifiedBy>
  <revision>1</revision>
  <dcterms:created xsi:type="dcterms:W3CDTF">2026-08-03T22:00:59.6675868Z</dcterms:created>
  <dcterms:modified xsi:type="dcterms:W3CDTF">2026-08-03T22:00:59.6675868Z</dcterms:modified>
  <category/>
</coreProperties>
</file>